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W w:w="10260" w:type="dxa"/>
        <w:tblLook w:val="04A0" w:firstRow="1" w:lastRow="0" w:firstColumn="1" w:lastColumn="0" w:noHBand="0" w:noVBand="1"/>
      </w:tblPr>
      <w:tblGrid>
        <w:gridCol w:w="6495"/>
        <w:gridCol w:w="3765"/>
      </w:tblGrid>
      <w:tr w:rsidR="00CD2589" w14:paraId="43788553" w14:textId="77777777" w:rsidTr="00CD258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495" w:type="dxa"/>
            <w:tcBorders>
              <w:top w:val="single" w:sz="4" w:space="0" w:color="0070C0"/>
              <w:bottom w:val="single" w:sz="4" w:space="0" w:color="0070C0"/>
            </w:tcBorders>
            <w:shd w:val="clear" w:color="auto" w:fill="DBE5F1" w:themeFill="accent1" w:themeFillTint="33"/>
          </w:tcPr>
          <w:p w14:paraId="451EE7F8" w14:textId="77777777" w:rsidR="00CD2589" w:rsidRPr="00CD2589" w:rsidRDefault="00CD2589" w:rsidP="00367744">
            <w:pPr>
              <w:jc w:val="left"/>
              <w:rPr>
                <w:rFonts w:ascii="Segoe UI" w:hAnsi="Segoe UI" w:cs="Segoe UI"/>
                <w:color w:val="000099"/>
                <w:sz w:val="24"/>
                <w:szCs w:val="24"/>
              </w:rPr>
            </w:pPr>
            <w:r w:rsidRPr="00CD2589">
              <w:rPr>
                <w:rFonts w:ascii="Segoe UI" w:hAnsi="Segoe UI" w:cs="Segoe UI"/>
                <w:color w:val="000099"/>
                <w:sz w:val="24"/>
                <w:szCs w:val="24"/>
              </w:rPr>
              <w:t>Ethiopian Journal of Medical and Health Sciences</w:t>
            </w:r>
          </w:p>
          <w:p w14:paraId="4DB5F9CC" w14:textId="4E182A6A" w:rsidR="00CB5737" w:rsidRDefault="00F67685" w:rsidP="008A588F">
            <w:pPr>
              <w:jc w:val="left"/>
              <w:rPr>
                <w:rFonts w:ascii="Segoe UI" w:hAnsi="Segoe UI" w:cs="Segoe UI"/>
                <w:color w:val="000099"/>
                <w:sz w:val="24"/>
                <w:szCs w:val="24"/>
              </w:rPr>
            </w:pPr>
            <w:r>
              <w:rPr>
                <w:rFonts w:ascii="Segoe UI" w:hAnsi="Segoe UI" w:cs="Segoe UI"/>
                <w:color w:val="000099"/>
                <w:sz w:val="24"/>
                <w:szCs w:val="24"/>
              </w:rPr>
              <w:t>202</w:t>
            </w:r>
            <w:r w:rsidR="003E1078">
              <w:rPr>
                <w:rFonts w:ascii="Segoe UI" w:hAnsi="Segoe UI" w:cs="Segoe UI"/>
                <w:color w:val="000099"/>
                <w:sz w:val="24"/>
                <w:szCs w:val="24"/>
              </w:rPr>
              <w:t>4</w:t>
            </w:r>
            <w:r>
              <w:rPr>
                <w:rFonts w:ascii="Segoe UI" w:hAnsi="Segoe UI" w:cs="Segoe UI"/>
                <w:color w:val="000099"/>
                <w:sz w:val="24"/>
                <w:szCs w:val="24"/>
              </w:rPr>
              <w:t xml:space="preserve">, Volume </w:t>
            </w:r>
            <w:r w:rsidR="003E1078">
              <w:rPr>
                <w:rFonts w:ascii="Segoe UI" w:hAnsi="Segoe UI" w:cs="Segoe UI"/>
                <w:color w:val="000099"/>
                <w:sz w:val="24"/>
                <w:szCs w:val="24"/>
              </w:rPr>
              <w:t>4</w:t>
            </w:r>
            <w:r>
              <w:rPr>
                <w:rFonts w:ascii="Segoe UI" w:hAnsi="Segoe UI" w:cs="Segoe UI"/>
                <w:color w:val="000099"/>
                <w:sz w:val="24"/>
                <w:szCs w:val="24"/>
              </w:rPr>
              <w:t xml:space="preserve">, Issue </w:t>
            </w:r>
            <w:r w:rsidR="0029134D">
              <w:rPr>
                <w:rFonts w:ascii="Segoe UI" w:hAnsi="Segoe UI" w:cs="Segoe UI"/>
                <w:color w:val="000099"/>
                <w:sz w:val="24"/>
                <w:szCs w:val="24"/>
              </w:rPr>
              <w:t>2</w:t>
            </w:r>
          </w:p>
          <w:p w14:paraId="593CE5BE" w14:textId="77777777" w:rsidR="008A588F" w:rsidRPr="008A588F" w:rsidRDefault="008A588F" w:rsidP="008A588F">
            <w:pPr>
              <w:jc w:val="left"/>
              <w:rPr>
                <w:rFonts w:ascii="Segoe UI" w:hAnsi="Segoe UI" w:cs="Segoe UI"/>
                <w:b w:val="0"/>
                <w:color w:val="000099"/>
                <w:sz w:val="24"/>
                <w:szCs w:val="24"/>
              </w:rPr>
            </w:pPr>
            <w:r w:rsidRPr="00597D35">
              <w:rPr>
                <w:rFonts w:ascii="Segoe UI" w:hAnsi="Segoe UI" w:cs="Segoe UI"/>
                <w:b w:val="0"/>
                <w:color w:val="000099"/>
                <w:sz w:val="20"/>
                <w:szCs w:val="24"/>
              </w:rPr>
              <w:t>https://journals.hu.edu.et/hu-journals/index.php/ejmhs</w:t>
            </w:r>
            <w:r w:rsidRPr="008A588F">
              <w:rPr>
                <w:rFonts w:ascii="Segoe UI" w:hAnsi="Segoe UI" w:cs="Segoe UI"/>
                <w:b w:val="0"/>
                <w:color w:val="000099"/>
                <w:szCs w:val="24"/>
              </w:rPr>
              <w:t xml:space="preserve"> </w:t>
            </w:r>
          </w:p>
        </w:tc>
        <w:tc>
          <w:tcPr>
            <w:tcW w:w="3765" w:type="dxa"/>
            <w:tcBorders>
              <w:top w:val="single" w:sz="4" w:space="0" w:color="0070C0"/>
              <w:bottom w:val="single" w:sz="4" w:space="0" w:color="0070C0"/>
            </w:tcBorders>
            <w:shd w:val="clear" w:color="auto" w:fill="DBE5F1" w:themeFill="accent1" w:themeFillTint="33"/>
          </w:tcPr>
          <w:p w14:paraId="104693AD" w14:textId="77777777" w:rsidR="00CD2589" w:rsidRPr="00CD2589" w:rsidRDefault="00CD2589" w:rsidP="00CD2589">
            <w:pPr>
              <w:jc w:val="right"/>
              <w:cnfStyle w:val="100000000000" w:firstRow="1" w:lastRow="0" w:firstColumn="0" w:lastColumn="0" w:oddVBand="0" w:evenVBand="0" w:oddHBand="0" w:evenHBand="0" w:firstRowFirstColumn="0" w:firstRowLastColumn="0" w:lastRowFirstColumn="0" w:lastRowLastColumn="0"/>
              <w:rPr>
                <w:rFonts w:ascii="Segoe UI" w:hAnsi="Segoe UI" w:cs="Segoe UI"/>
                <w:color w:val="000099"/>
                <w:sz w:val="32"/>
                <w:szCs w:val="24"/>
              </w:rPr>
            </w:pPr>
            <w:r w:rsidRPr="00CD2589">
              <w:rPr>
                <w:rFonts w:ascii="Segoe UI" w:hAnsi="Segoe UI" w:cs="Segoe UI"/>
                <w:color w:val="000099"/>
                <w:sz w:val="32"/>
                <w:szCs w:val="24"/>
              </w:rPr>
              <w:t>Open Access</w:t>
            </w:r>
          </w:p>
          <w:p w14:paraId="7E9C0BAA" w14:textId="77777777" w:rsidR="00CD2589" w:rsidRDefault="00C742F2" w:rsidP="00CD2589">
            <w:pPr>
              <w:jc w:val="left"/>
              <w:cnfStyle w:val="100000000000" w:firstRow="1" w:lastRow="0" w:firstColumn="0" w:lastColumn="0" w:oddVBand="0" w:evenVBand="0" w:oddHBand="0" w:evenHBand="0" w:firstRowFirstColumn="0" w:firstRowLastColumn="0" w:lastRowFirstColumn="0" w:lastRowLastColumn="0"/>
              <w:rPr>
                <w:rFonts w:ascii="Segoe UI" w:hAnsi="Segoe UI" w:cs="Segoe UI"/>
                <w:bCs w:val="0"/>
                <w:sz w:val="24"/>
                <w:szCs w:val="24"/>
              </w:rPr>
            </w:pPr>
            <w:r>
              <w:rPr>
                <w:rFonts w:ascii="Segoe UI" w:hAnsi="Segoe UI" w:cs="Segoe UI"/>
                <w:noProof/>
                <w:sz w:val="24"/>
                <w:szCs w:val="24"/>
              </w:rPr>
              <mc:AlternateContent>
                <mc:Choice Requires="wps">
                  <w:drawing>
                    <wp:anchor distT="0" distB="0" distL="114300" distR="114300" simplePos="0" relativeHeight="251658240" behindDoc="0" locked="0" layoutInCell="1" allowOverlap="1" wp14:anchorId="47873E1C" wp14:editId="2A668C05">
                      <wp:simplePos x="0" y="0"/>
                      <wp:positionH relativeFrom="column">
                        <wp:posOffset>457200</wp:posOffset>
                      </wp:positionH>
                      <wp:positionV relativeFrom="paragraph">
                        <wp:posOffset>18415</wp:posOffset>
                      </wp:positionV>
                      <wp:extent cx="1809750" cy="266700"/>
                      <wp:effectExtent l="0" t="0" r="0" b="6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667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8F586" w14:textId="77777777" w:rsidR="00666946" w:rsidRPr="002177E2" w:rsidRDefault="00666946" w:rsidP="00D82414">
                                  <w:pPr>
                                    <w:jc w:val="left"/>
                                    <w:rPr>
                                      <w:rFonts w:ascii="Segoe UI" w:hAnsi="Segoe UI" w:cs="Segoe UI"/>
                                      <w:color w:val="000099"/>
                                      <w:szCs w:val="24"/>
                                    </w:rPr>
                                  </w:pPr>
                                  <w:r w:rsidRPr="001C178A">
                                    <w:rPr>
                                      <w:rFonts w:ascii="Segoe UI" w:hAnsi="Segoe UI" w:cs="Segoe UI"/>
                                      <w:bCs/>
                                      <w:color w:val="000099"/>
                                      <w:szCs w:val="24"/>
                                    </w:rPr>
                                    <w:t>ISSN</w:t>
                                  </w:r>
                                  <w:r>
                                    <w:rPr>
                                      <w:rFonts w:ascii="Segoe UI" w:hAnsi="Segoe UI" w:cs="Segoe UI"/>
                                      <w:bCs/>
                                      <w:color w:val="000099"/>
                                      <w:szCs w:val="24"/>
                                    </w:rPr>
                                    <w:t xml:space="preserve"> (online): </w:t>
                                  </w:r>
                                  <w:r w:rsidRPr="002177E2">
                                    <w:rPr>
                                      <w:rFonts w:ascii="Segoe UI" w:hAnsi="Segoe UI" w:cs="Segoe UI"/>
                                      <w:bCs/>
                                      <w:color w:val="000099"/>
                                      <w:szCs w:val="24"/>
                                    </w:rPr>
                                    <w:t>2789-</w:t>
                                  </w:r>
                                  <w:r w:rsidRPr="002177E2">
                                    <w:rPr>
                                      <w:rFonts w:ascii="Segoe UI" w:hAnsi="Segoe UI" w:cs="Segoe UI"/>
                                      <w:color w:val="000099"/>
                                      <w:szCs w:val="24"/>
                                    </w:rPr>
                                    <w:t>7087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873E1C" id="AutoShape 2" o:spid="_x0000_s1026" style="position:absolute;margin-left:36pt;margin-top:1.45pt;width:14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" filled="f" stroked="f">
                      <v:textbox>
                        <w:txbxContent>
                          <w:p w14:paraId="1D48F586" w14:textId="77777777" w:rsidR="00666946" w:rsidRPr="002177E2" w:rsidRDefault="00666946" w:rsidP="00D82414">
                            <w:pPr>
                              <w:jc w:val="left"/>
                              <w:rPr>
                                <w:rFonts w:ascii="Segoe UI" w:hAnsi="Segoe UI" w:cs="Segoe UI"/>
                                <w:color w:val="000099"/>
                                <w:szCs w:val="24"/>
                              </w:rPr>
                            </w:pPr>
                            <w:r w:rsidRPr="001C178A">
                              <w:rPr>
                                <w:rFonts w:ascii="Segoe UI" w:hAnsi="Segoe UI" w:cs="Segoe UI"/>
                                <w:bCs/>
                                <w:color w:val="000099"/>
                                <w:szCs w:val="24"/>
                              </w:rPr>
                              <w:t>ISSN</w:t>
                            </w:r>
                            <w:r>
                              <w:rPr>
                                <w:rFonts w:ascii="Segoe UI" w:hAnsi="Segoe UI" w:cs="Segoe UI"/>
                                <w:bCs/>
                                <w:color w:val="000099"/>
                                <w:szCs w:val="24"/>
                              </w:rPr>
                              <w:t xml:space="preserve"> (online): </w:t>
                            </w:r>
                            <w:r w:rsidRPr="002177E2">
                              <w:rPr>
                                <w:rFonts w:ascii="Segoe UI" w:hAnsi="Segoe UI" w:cs="Segoe UI"/>
                                <w:bCs/>
                                <w:color w:val="000099"/>
                                <w:szCs w:val="24"/>
                              </w:rPr>
                              <w:t>2789-</w:t>
                            </w:r>
                            <w:r w:rsidRPr="002177E2">
                              <w:rPr>
                                <w:rFonts w:ascii="Segoe UI" w:hAnsi="Segoe UI" w:cs="Segoe UI"/>
                                <w:color w:val="000099"/>
                                <w:szCs w:val="24"/>
                              </w:rPr>
                              <w:t>7087</w:t>
                            </w:r>
                          </w:p>
                        </w:txbxContent>
                      </v:textbox>
                    </v:roundrect>
                  </w:pict>
                </mc:Fallback>
              </mc:AlternateContent>
            </w:r>
          </w:p>
        </w:tc>
      </w:tr>
    </w:tbl>
    <w:p w14:paraId="019F91B4" w14:textId="77777777" w:rsidR="00367744" w:rsidRPr="00367744" w:rsidRDefault="00CD2589" w:rsidP="00CD2589">
      <w:pPr>
        <w:spacing w:before="100" w:beforeAutospacing="1" w:after="100" w:afterAutospacing="1" w:line="240" w:lineRule="auto"/>
        <w:jc w:val="left"/>
        <w:rPr>
          <w:rFonts w:ascii="Segoe UI" w:hAnsi="Segoe UI" w:cs="Segoe UI"/>
          <w:b/>
          <w:sz w:val="24"/>
          <w:szCs w:val="24"/>
        </w:rPr>
      </w:pPr>
      <w:r>
        <w:rPr>
          <w:rFonts w:ascii="Segoe UI" w:hAnsi="Segoe UI" w:cs="Segoe UI"/>
          <w:b/>
          <w:sz w:val="24"/>
          <w:szCs w:val="24"/>
        </w:rPr>
        <w:t>Original Article</w:t>
      </w:r>
    </w:p>
    <w:p w14:paraId="61A563FB" w14:textId="77777777" w:rsidR="00590728" w:rsidRDefault="0029134D" w:rsidP="0029134D">
      <w:pPr>
        <w:tabs>
          <w:tab w:val="left" w:pos="1785"/>
          <w:tab w:val="left" w:pos="4185"/>
        </w:tabs>
        <w:autoSpaceDE w:val="0"/>
        <w:autoSpaceDN w:val="0"/>
        <w:adjustRightInd w:val="0"/>
        <w:spacing w:line="240" w:lineRule="auto"/>
        <w:jc w:val="center"/>
        <w:rPr>
          <w:rFonts w:eastAsia="Calibri"/>
          <w:b/>
          <w:bCs/>
          <w:sz w:val="40"/>
          <w:szCs w:val="40"/>
        </w:rPr>
      </w:pPr>
      <w:r w:rsidRPr="0029134D">
        <w:rPr>
          <w:rFonts w:eastAsia="Calibri"/>
          <w:b/>
          <w:bCs/>
          <w:sz w:val="40"/>
          <w:szCs w:val="40"/>
        </w:rPr>
        <w:t>Patterns of Communicable and Non-Communicable Diseases: A Hospital-Based Study in Ethiopia</w:t>
      </w:r>
    </w:p>
    <w:p w14:paraId="08855A17" w14:textId="77777777" w:rsidR="0029134D" w:rsidRDefault="0029134D" w:rsidP="0029134D">
      <w:pPr>
        <w:tabs>
          <w:tab w:val="left" w:pos="1785"/>
          <w:tab w:val="left" w:pos="4185"/>
        </w:tabs>
        <w:autoSpaceDE w:val="0"/>
        <w:autoSpaceDN w:val="0"/>
        <w:adjustRightInd w:val="0"/>
        <w:spacing w:line="240" w:lineRule="auto"/>
        <w:jc w:val="center"/>
        <w:rPr>
          <w:rFonts w:eastAsia="Calibri"/>
          <w:b/>
          <w:szCs w:val="24"/>
        </w:rPr>
      </w:pPr>
    </w:p>
    <w:p w14:paraId="6F947185" w14:textId="77777777" w:rsidR="0029134D" w:rsidRDefault="0029134D" w:rsidP="0029134D">
      <w:pPr>
        <w:tabs>
          <w:tab w:val="left" w:pos="1785"/>
          <w:tab w:val="left" w:pos="4185"/>
        </w:tabs>
        <w:autoSpaceDE w:val="0"/>
        <w:autoSpaceDN w:val="0"/>
        <w:adjustRightInd w:val="0"/>
        <w:spacing w:line="240" w:lineRule="auto"/>
        <w:jc w:val="center"/>
        <w:rPr>
          <w:rFonts w:ascii="Times New Roman" w:eastAsia="Calibri" w:hAnsi="Times New Roman" w:cs="Times New Roman"/>
          <w:sz w:val="24"/>
          <w:szCs w:val="24"/>
        </w:rPr>
      </w:pPr>
      <w:r w:rsidRPr="0029134D">
        <w:rPr>
          <w:rFonts w:ascii="Times New Roman" w:eastAsia="Calibri" w:hAnsi="Times New Roman" w:cs="Times New Roman"/>
          <w:sz w:val="24"/>
          <w:szCs w:val="24"/>
        </w:rPr>
        <w:t>Alemayehu Abebe</w:t>
      </w:r>
      <w:r w:rsidRPr="0029134D">
        <w:rPr>
          <w:rFonts w:ascii="Times New Roman" w:eastAsia="Calibri" w:hAnsi="Times New Roman" w:cs="Times New Roman"/>
          <w:sz w:val="24"/>
          <w:szCs w:val="24"/>
          <w:vertAlign w:val="superscript"/>
        </w:rPr>
        <w:t>1*</w:t>
      </w:r>
      <w:r w:rsidRPr="0029134D">
        <w:rPr>
          <w:rFonts w:ascii="Times New Roman" w:eastAsia="Calibri" w:hAnsi="Times New Roman" w:cs="Times New Roman"/>
          <w:sz w:val="24"/>
          <w:szCs w:val="24"/>
        </w:rPr>
        <w:t>, Meron Tafesse</w:t>
      </w:r>
      <w:r w:rsidRPr="0029134D">
        <w:rPr>
          <w:rFonts w:ascii="Times New Roman" w:eastAsia="Calibri" w:hAnsi="Times New Roman" w:cs="Times New Roman"/>
          <w:sz w:val="24"/>
          <w:szCs w:val="24"/>
          <w:vertAlign w:val="superscript"/>
        </w:rPr>
        <w:t>2</w:t>
      </w:r>
      <w:r w:rsidRPr="0029134D">
        <w:rPr>
          <w:rFonts w:ascii="Times New Roman" w:eastAsia="Calibri" w:hAnsi="Times New Roman" w:cs="Times New Roman"/>
          <w:sz w:val="24"/>
          <w:szCs w:val="24"/>
        </w:rPr>
        <w:t>, Gemechu Beraso</w:t>
      </w:r>
      <w:r w:rsidRPr="0029134D">
        <w:rPr>
          <w:rFonts w:ascii="Times New Roman" w:eastAsia="Calibri" w:hAnsi="Times New Roman" w:cs="Times New Roman"/>
          <w:sz w:val="24"/>
          <w:szCs w:val="24"/>
          <w:vertAlign w:val="superscript"/>
        </w:rPr>
        <w:t>1</w:t>
      </w:r>
      <w:r w:rsidRPr="0029134D">
        <w:rPr>
          <w:rFonts w:ascii="Times New Roman" w:eastAsia="Calibri" w:hAnsi="Times New Roman" w:cs="Times New Roman"/>
          <w:sz w:val="24"/>
          <w:szCs w:val="24"/>
        </w:rPr>
        <w:t>, Desalegn Dawit</w:t>
      </w:r>
      <w:r w:rsidRPr="0029134D">
        <w:rPr>
          <w:rFonts w:ascii="Times New Roman" w:eastAsia="Calibri" w:hAnsi="Times New Roman" w:cs="Times New Roman"/>
          <w:sz w:val="24"/>
          <w:szCs w:val="24"/>
          <w:vertAlign w:val="superscript"/>
        </w:rPr>
        <w:t>1</w:t>
      </w:r>
      <w:r w:rsidRPr="0029134D">
        <w:rPr>
          <w:rFonts w:ascii="Times New Roman" w:eastAsia="Calibri" w:hAnsi="Times New Roman" w:cs="Times New Roman"/>
          <w:sz w:val="24"/>
          <w:szCs w:val="24"/>
        </w:rPr>
        <w:t>, Tsega Argaw</w:t>
      </w:r>
      <w:r w:rsidRPr="0029134D">
        <w:rPr>
          <w:rFonts w:ascii="Times New Roman" w:eastAsia="Calibri" w:hAnsi="Times New Roman" w:cs="Times New Roman"/>
          <w:sz w:val="24"/>
          <w:szCs w:val="24"/>
          <w:vertAlign w:val="superscript"/>
        </w:rPr>
        <w:t>3</w:t>
      </w:r>
      <w:r w:rsidRPr="0029134D">
        <w:rPr>
          <w:rFonts w:ascii="Times New Roman" w:eastAsia="Calibri" w:hAnsi="Times New Roman" w:cs="Times New Roman"/>
          <w:sz w:val="24"/>
          <w:szCs w:val="24"/>
        </w:rPr>
        <w:t>, Fekadeselassie Berhie</w:t>
      </w:r>
      <w:r w:rsidRPr="0029134D">
        <w:rPr>
          <w:rFonts w:ascii="Times New Roman" w:eastAsia="Calibri" w:hAnsi="Times New Roman" w:cs="Times New Roman"/>
          <w:sz w:val="24"/>
          <w:szCs w:val="24"/>
          <w:vertAlign w:val="superscript"/>
        </w:rPr>
        <w:t>1</w:t>
      </w:r>
    </w:p>
    <w:p w14:paraId="627AF3D1" w14:textId="3E33FC4D" w:rsidR="0029134D" w:rsidRPr="0029134D" w:rsidRDefault="0029134D" w:rsidP="0029134D">
      <w:pPr>
        <w:spacing w:before="100" w:beforeAutospacing="1" w:after="100" w:afterAutospacing="1" w:line="240" w:lineRule="auto"/>
        <w:jc w:val="center"/>
        <w:rPr>
          <w:rFonts w:ascii="Times New Roman" w:eastAsia="Calibri" w:hAnsi="Times New Roman" w:cs="Times New Roman"/>
          <w:bCs/>
          <w:sz w:val="24"/>
          <w:szCs w:val="24"/>
        </w:rPr>
      </w:pPr>
      <w:r w:rsidRPr="0029134D">
        <w:rPr>
          <w:rFonts w:ascii="Times New Roman" w:eastAsia="Calibri" w:hAnsi="Times New Roman" w:cs="Times New Roman"/>
          <w:bCs/>
          <w:sz w:val="24"/>
          <w:szCs w:val="24"/>
          <w:vertAlign w:val="superscript"/>
        </w:rPr>
        <w:t>1</w:t>
      </w:r>
      <w:r w:rsidRPr="0029134D">
        <w:rPr>
          <w:rFonts w:ascii="Times New Roman" w:eastAsia="Calibri" w:hAnsi="Times New Roman" w:cs="Times New Roman"/>
          <w:bCs/>
          <w:sz w:val="24"/>
          <w:szCs w:val="24"/>
        </w:rPr>
        <w:t>Public Health Academic and Service Directorate</w:t>
      </w:r>
      <w:r>
        <w:rPr>
          <w:rFonts w:ascii="Times New Roman" w:eastAsia="Calibri" w:hAnsi="Times New Roman" w:cs="Times New Roman"/>
          <w:bCs/>
          <w:sz w:val="24"/>
          <w:szCs w:val="24"/>
        </w:rPr>
        <w:t xml:space="preserve">; </w:t>
      </w:r>
      <w:r w:rsidRPr="00CF6849">
        <w:rPr>
          <w:rFonts w:ascii="Times New Roman" w:eastAsia="Calibri" w:hAnsi="Times New Roman" w:cs="Times New Roman"/>
          <w:bCs/>
          <w:sz w:val="24"/>
          <w:szCs w:val="24"/>
          <w:vertAlign w:val="superscript"/>
        </w:rPr>
        <w:t>2</w:t>
      </w:r>
      <w:r w:rsidRPr="0029134D">
        <w:rPr>
          <w:rFonts w:ascii="Times New Roman" w:eastAsia="Calibri" w:hAnsi="Times New Roman" w:cs="Times New Roman"/>
          <w:bCs/>
          <w:sz w:val="24"/>
          <w:szCs w:val="24"/>
        </w:rPr>
        <w:t>Medical Laboratory Academic and Service Directorate</w:t>
      </w:r>
      <w:r>
        <w:rPr>
          <w:rFonts w:ascii="Times New Roman" w:eastAsia="Calibri" w:hAnsi="Times New Roman" w:cs="Times New Roman"/>
          <w:bCs/>
          <w:sz w:val="24"/>
          <w:szCs w:val="24"/>
        </w:rPr>
        <w:t xml:space="preserve">; </w:t>
      </w:r>
      <w:r w:rsidRPr="0029134D">
        <w:rPr>
          <w:rFonts w:ascii="Times New Roman" w:eastAsia="Calibri" w:hAnsi="Times New Roman" w:cs="Times New Roman"/>
          <w:bCs/>
          <w:sz w:val="24"/>
          <w:szCs w:val="24"/>
          <w:vertAlign w:val="superscript"/>
        </w:rPr>
        <w:t>3</w:t>
      </w:r>
      <w:r w:rsidRPr="0029134D">
        <w:rPr>
          <w:rFonts w:ascii="Times New Roman" w:eastAsia="Calibri" w:hAnsi="Times New Roman" w:cs="Times New Roman"/>
          <w:bCs/>
          <w:sz w:val="24"/>
          <w:szCs w:val="24"/>
        </w:rPr>
        <w:t>Hospital HMIS, College of Medicine and Health Sciences, Hawassa University, Hawassa, Ethiopia</w:t>
      </w:r>
    </w:p>
    <w:p w14:paraId="46AEB509" w14:textId="6F3FBFDD" w:rsidR="0029134D" w:rsidRPr="0029134D" w:rsidRDefault="0029134D" w:rsidP="0029134D">
      <w:pPr>
        <w:jc w:val="center"/>
        <w:rPr>
          <w:rFonts w:ascii="Times New Roman" w:hAnsi="Times New Roman" w:cs="Times New Roman"/>
          <w:sz w:val="24"/>
          <w:szCs w:val="24"/>
        </w:rPr>
      </w:pPr>
      <w:r w:rsidRPr="0029134D">
        <w:rPr>
          <w:rFonts w:ascii="Times New Roman" w:hAnsi="Times New Roman" w:cs="Times New Roman"/>
          <w:sz w:val="24"/>
          <w:szCs w:val="24"/>
        </w:rPr>
        <w:t xml:space="preserve">*Corresponding author; E-mail: </w:t>
      </w:r>
      <w:hyperlink r:id="rId9" w:history="1">
        <w:r w:rsidRPr="0060175A">
          <w:rPr>
            <w:rStyle w:val="Hyperlink"/>
            <w:rFonts w:ascii="Times New Roman" w:hAnsi="Times New Roman" w:cs="Times New Roman"/>
            <w:sz w:val="24"/>
            <w:szCs w:val="24"/>
          </w:rPr>
          <w:t>aleab27@yahoo.com</w:t>
        </w:r>
      </w:hyperlink>
    </w:p>
    <w:tbl>
      <w:tblPr>
        <w:tblStyle w:val="TableGrid"/>
        <w:tblW w:w="10350" w:type="dxa"/>
        <w:tblInd w:w="-72" w:type="dxa"/>
        <w:tblLook w:val="04A0" w:firstRow="1" w:lastRow="0" w:firstColumn="1" w:lastColumn="0" w:noHBand="0" w:noVBand="1"/>
      </w:tblPr>
      <w:tblGrid>
        <w:gridCol w:w="10350"/>
      </w:tblGrid>
      <w:tr w:rsidR="00665945" w:rsidRPr="00D82414" w14:paraId="63FF4114" w14:textId="77777777" w:rsidTr="005D2EB1">
        <w:tc>
          <w:tcPr>
            <w:tcW w:w="10350" w:type="dxa"/>
            <w:tcBorders>
              <w:top w:val="nil"/>
              <w:left w:val="nil"/>
              <w:bottom w:val="single" w:sz="4" w:space="0" w:color="0070C0"/>
              <w:right w:val="nil"/>
            </w:tcBorders>
            <w:shd w:val="clear" w:color="auto" w:fill="DBE5F1" w:themeFill="accent1" w:themeFillTint="33"/>
          </w:tcPr>
          <w:p w14:paraId="4121DB07" w14:textId="77777777" w:rsidR="00AA7355" w:rsidRPr="00382C30" w:rsidRDefault="00AA7355" w:rsidP="00AA7355">
            <w:pPr>
              <w:spacing w:before="100" w:beforeAutospacing="1" w:after="100" w:afterAutospacing="1"/>
              <w:rPr>
                <w:rFonts w:ascii="Times New Roman" w:hAnsi="Times New Roman" w:cs="Times New Roman"/>
                <w:b/>
                <w:sz w:val="32"/>
                <w:szCs w:val="24"/>
              </w:rPr>
            </w:pPr>
            <w:r w:rsidRPr="00B73E7E">
              <w:rPr>
                <w:rFonts w:ascii="Segoe UI" w:hAnsi="Segoe UI" w:cs="Segoe UI"/>
                <w:b/>
                <w:color w:val="000099"/>
                <w:sz w:val="32"/>
                <w:szCs w:val="24"/>
              </w:rPr>
              <w:t>Abstract</w:t>
            </w:r>
          </w:p>
          <w:p w14:paraId="4EAE91BA" w14:textId="77777777" w:rsidR="00CF6849" w:rsidRPr="00CF6849" w:rsidRDefault="00590728" w:rsidP="00CF6849">
            <w:pPr>
              <w:tabs>
                <w:tab w:val="left" w:pos="3270"/>
              </w:tabs>
              <w:spacing w:after="120"/>
              <w:rPr>
                <w:rFonts w:ascii="Times New Roman" w:eastAsia="Calibri" w:hAnsi="Times New Roman" w:cs="Times New Roman"/>
                <w:sz w:val="24"/>
                <w:szCs w:val="24"/>
              </w:rPr>
            </w:pPr>
            <w:r w:rsidRPr="00590728">
              <w:rPr>
                <w:rFonts w:ascii="Times New Roman" w:eastAsia="Calibri" w:hAnsi="Times New Roman" w:cs="Times New Roman"/>
                <w:b/>
                <w:sz w:val="24"/>
                <w:szCs w:val="24"/>
              </w:rPr>
              <w:t xml:space="preserve">Background: </w:t>
            </w:r>
            <w:r w:rsidR="00CF6849" w:rsidRPr="00CF6849">
              <w:rPr>
                <w:rFonts w:ascii="Times New Roman" w:eastAsia="Calibri" w:hAnsi="Times New Roman" w:cs="Times New Roman"/>
                <w:sz w:val="24"/>
                <w:szCs w:val="24"/>
              </w:rPr>
              <w:t>The patient group exhibited a nearly equal gender distribution, with a predominance of middle-aged individuals. Tuberculosis and other infectious diseases accounted for 25% of admissions, reflecting the continued relevance of communicable diseases in a shifting health landscape. Conversely, non-communicable diseases (NCDs), more particularly cardiovascular diseases, diabetes mellitus, and chronic kidney disease, were gaining pace, which demonstrates a trendline that highlights the two-sided burden of communicable and non-communicable diseases. These findings underscore the need for integrated healthcare approaches to manage both disease categories effectively.</w:t>
            </w:r>
          </w:p>
          <w:p w14:paraId="1A1971CD" w14:textId="43CCAD9F" w:rsidR="00CF6849" w:rsidRPr="00CF6849" w:rsidRDefault="00CF6849" w:rsidP="00CF6849">
            <w:pPr>
              <w:tabs>
                <w:tab w:val="left" w:pos="3270"/>
              </w:tabs>
              <w:spacing w:after="120"/>
              <w:rPr>
                <w:rFonts w:ascii="Times New Roman" w:eastAsia="Calibri" w:hAnsi="Times New Roman" w:cs="Times New Roman"/>
                <w:sz w:val="24"/>
                <w:szCs w:val="24"/>
              </w:rPr>
            </w:pPr>
            <w:r w:rsidRPr="00BB5679">
              <w:rPr>
                <w:rFonts w:ascii="Times New Roman" w:eastAsia="Calibri" w:hAnsi="Times New Roman" w:cs="Times New Roman"/>
                <w:b/>
                <w:bCs/>
                <w:sz w:val="24"/>
                <w:szCs w:val="24"/>
              </w:rPr>
              <w:t>Methods</w:t>
            </w:r>
            <w:r w:rsidRPr="00CF6849">
              <w:rPr>
                <w:rFonts w:ascii="Times New Roman" w:eastAsia="Calibri" w:hAnsi="Times New Roman" w:cs="Times New Roman"/>
                <w:sz w:val="24"/>
                <w:szCs w:val="24"/>
              </w:rPr>
              <w:t xml:space="preserve">: </w:t>
            </w:r>
            <w:r w:rsidR="00BB5679">
              <w:rPr>
                <w:rFonts w:ascii="Times New Roman" w:eastAsia="Calibri" w:hAnsi="Times New Roman" w:cs="Times New Roman"/>
                <w:sz w:val="24"/>
                <w:szCs w:val="24"/>
              </w:rPr>
              <w:t>A hospital</w:t>
            </w:r>
            <w:r w:rsidR="008050D7">
              <w:rPr>
                <w:rFonts w:ascii="Times New Roman" w:eastAsia="Calibri" w:hAnsi="Times New Roman" w:cs="Times New Roman"/>
                <w:sz w:val="24"/>
                <w:szCs w:val="24"/>
              </w:rPr>
              <w:t>-</w:t>
            </w:r>
            <w:r w:rsidR="00BB5679">
              <w:rPr>
                <w:rFonts w:ascii="Times New Roman" w:eastAsia="Calibri" w:hAnsi="Times New Roman" w:cs="Times New Roman"/>
                <w:sz w:val="24"/>
                <w:szCs w:val="24"/>
              </w:rPr>
              <w:t>based descriptive cross</w:t>
            </w:r>
            <w:r w:rsidRPr="00CF6849">
              <w:rPr>
                <w:rFonts w:ascii="Times New Roman" w:eastAsia="Calibri" w:hAnsi="Times New Roman" w:cs="Times New Roman"/>
                <w:sz w:val="24"/>
                <w:szCs w:val="24"/>
              </w:rPr>
              <w:t xml:space="preserve">-sectional study was performed over 12 months, between January and December 2024. The research comprised a sample of 1,118 patients of 15 years and above, and data were extracted from complete medical records. They used the International Classification of Diseases (ICD) criteria for classifying the diseases. Data were collected by trained nurses using ICD classification and </w:t>
            </w:r>
            <w:r w:rsidR="00594854" w:rsidRPr="00CF6849">
              <w:rPr>
                <w:rFonts w:ascii="Times New Roman" w:eastAsia="Calibri" w:hAnsi="Times New Roman" w:cs="Times New Roman"/>
                <w:sz w:val="24"/>
                <w:szCs w:val="24"/>
              </w:rPr>
              <w:t>analyzed</w:t>
            </w:r>
            <w:r w:rsidRPr="00CF6849">
              <w:rPr>
                <w:rFonts w:ascii="Times New Roman" w:eastAsia="Calibri" w:hAnsi="Times New Roman" w:cs="Times New Roman"/>
                <w:sz w:val="24"/>
                <w:szCs w:val="24"/>
              </w:rPr>
              <w:t xml:space="preserve"> using SPSS to identify patterns.</w:t>
            </w:r>
          </w:p>
          <w:p w14:paraId="3D2B9BD5" w14:textId="1E2D86E7" w:rsidR="00594854" w:rsidRDefault="00CF6849" w:rsidP="00CF6849">
            <w:pPr>
              <w:pStyle w:val="NormalWeb"/>
              <w:jc w:val="both"/>
              <w:rPr>
                <w:rFonts w:eastAsia="Calibri"/>
              </w:rPr>
            </w:pPr>
            <w:r w:rsidRPr="00CF6849">
              <w:rPr>
                <w:rFonts w:eastAsia="Calibri"/>
                <w:b/>
                <w:bCs/>
              </w:rPr>
              <w:t>Results</w:t>
            </w:r>
            <w:r w:rsidRPr="00CF6849">
              <w:rPr>
                <w:rFonts w:eastAsia="Calibri"/>
              </w:rPr>
              <w:t xml:space="preserve">: </w:t>
            </w:r>
            <w:r w:rsidR="00594854" w:rsidRPr="00594854">
              <w:rPr>
                <w:rFonts w:eastAsia="Calibri"/>
              </w:rPr>
              <w:t>CDs accounted for 25% of hospital admissions, with tuberculosis comprising 7.2% of all admissions. NCDs represented 75% of admissions, with cardiovascular diseases accounting for 18.2%. Significant gender associations were found for tuberculosis of other specified sites (p = 0.036), chronic liver disease (p = 0.011), intracerebral hemorrhage (p = 0.001), and tuberculosis meningitis (p = 0.013). Length of hospital stay was significantly associated with patient outcomes (p &lt; 0.001), with the highest mortality rate observed among patients admitted for 1-3 days. Hospital mortality rate was 6.0%, lower than other Ethiopian hospitals</w:t>
            </w:r>
            <w:r w:rsidR="008050D7">
              <w:rPr>
                <w:rFonts w:eastAsia="Calibri"/>
              </w:rPr>
              <w:t>,</w:t>
            </w:r>
            <w:r w:rsidR="00594854" w:rsidRPr="00594854">
              <w:rPr>
                <w:rFonts w:eastAsia="Calibri"/>
              </w:rPr>
              <w:t xml:space="preserve"> while high rates of discharge against medical advice (8.3%) and referrals (7.2%) highlighted systemic challenges.</w:t>
            </w:r>
          </w:p>
          <w:p w14:paraId="3CF0E9B1" w14:textId="4A5C6A18" w:rsidR="00594854" w:rsidRDefault="00594854" w:rsidP="00CF6849">
            <w:pPr>
              <w:pStyle w:val="NormalWeb"/>
              <w:jc w:val="both"/>
              <w:rPr>
                <w:rFonts w:eastAsia="Calibri"/>
              </w:rPr>
            </w:pPr>
            <w:r w:rsidRPr="00594854">
              <w:rPr>
                <w:rFonts w:eastAsia="Calibri"/>
                <w:b/>
                <w:bCs/>
              </w:rPr>
              <w:t>Conclusion</w:t>
            </w:r>
            <w:r>
              <w:rPr>
                <w:rFonts w:eastAsia="Calibri"/>
              </w:rPr>
              <w:t>:</w:t>
            </w:r>
            <w:r w:rsidR="00A67771">
              <w:t xml:space="preserve"> </w:t>
            </w:r>
            <w:r w:rsidR="00A67771" w:rsidRPr="00A67771">
              <w:rPr>
                <w:rFonts w:eastAsia="Calibri"/>
              </w:rPr>
              <w:t xml:space="preserve">The study reveals that infectious diseases continue to be the leading cause of hospital admissions. Concurrently, NCDs, particularly those affecting the cardiovascular and genitourinary </w:t>
            </w:r>
            <w:r w:rsidR="00A67771" w:rsidRPr="00A67771">
              <w:rPr>
                <w:rFonts w:eastAsia="Calibri"/>
              </w:rPr>
              <w:lastRenderedPageBreak/>
              <w:t>systems, are rising in line with the ongoing epidemiological transition in Ethiopia. The findings also highlight marked gender differences in disease patterns, with tuberculosis and chronic liver disease showing particularly uneven distributions between men and women. Collectively, these findings emphasize the importance of integrated approaches that address both persisting infectious diseases and the emerging challenge of chronic illnesses in Ethiopia.</w:t>
            </w:r>
          </w:p>
          <w:p w14:paraId="272C27CA" w14:textId="27031AE5" w:rsidR="00B62C3A" w:rsidRPr="00382C30" w:rsidRDefault="00CF6849" w:rsidP="00CF6849">
            <w:pPr>
              <w:pStyle w:val="NormalWeb"/>
              <w:jc w:val="both"/>
            </w:pPr>
            <w:r w:rsidRPr="00CF6849">
              <w:rPr>
                <w:b/>
              </w:rPr>
              <w:t xml:space="preserve">Keywords: </w:t>
            </w:r>
            <w:r w:rsidR="000B2661" w:rsidRPr="000B2661">
              <w:rPr>
                <w:bCs/>
              </w:rPr>
              <w:t>c</w:t>
            </w:r>
            <w:r w:rsidRPr="000B2661">
              <w:rPr>
                <w:bCs/>
              </w:rPr>
              <w:t xml:space="preserve">ommunicable, </w:t>
            </w:r>
            <w:r w:rsidR="000B2661" w:rsidRPr="000B2661">
              <w:rPr>
                <w:bCs/>
              </w:rPr>
              <w:t>n</w:t>
            </w:r>
            <w:r w:rsidRPr="000B2661">
              <w:rPr>
                <w:bCs/>
              </w:rPr>
              <w:t>on-</w:t>
            </w:r>
            <w:r w:rsidR="00E63842">
              <w:rPr>
                <w:bCs/>
              </w:rPr>
              <w:t>c</w:t>
            </w:r>
            <w:r w:rsidRPr="000B2661">
              <w:rPr>
                <w:bCs/>
              </w:rPr>
              <w:t xml:space="preserve">ommunicable, </w:t>
            </w:r>
            <w:r w:rsidR="000B2661" w:rsidRPr="000B2661">
              <w:rPr>
                <w:bCs/>
              </w:rPr>
              <w:t>d</w:t>
            </w:r>
            <w:r w:rsidRPr="000B2661">
              <w:rPr>
                <w:bCs/>
              </w:rPr>
              <w:t xml:space="preserve">iseases, </w:t>
            </w:r>
            <w:r w:rsidR="000B2661" w:rsidRPr="000B2661">
              <w:rPr>
                <w:bCs/>
              </w:rPr>
              <w:t>p</w:t>
            </w:r>
            <w:r w:rsidRPr="000B2661">
              <w:rPr>
                <w:bCs/>
              </w:rPr>
              <w:t xml:space="preserve">atterns, </w:t>
            </w:r>
            <w:r w:rsidR="000B2661" w:rsidRPr="000B2661">
              <w:rPr>
                <w:bCs/>
              </w:rPr>
              <w:t xml:space="preserve">admission </w:t>
            </w:r>
            <w:r w:rsidR="000B2661" w:rsidRPr="000B2661">
              <w:rPr>
                <w:bCs/>
              </w:rPr>
              <w:tab/>
            </w:r>
          </w:p>
        </w:tc>
      </w:tr>
      <w:tr w:rsidR="005D2EB1" w:rsidRPr="00D82414" w14:paraId="430A71F8" w14:textId="77777777" w:rsidTr="005D2EB1">
        <w:tblPrEx>
          <w:tblBorders>
            <w:top w:val="single" w:sz="4" w:space="0" w:color="0070C0"/>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350" w:type="dxa"/>
            <w:tcBorders>
              <w:top w:val="single" w:sz="4" w:space="0" w:color="0070C0"/>
            </w:tcBorders>
          </w:tcPr>
          <w:p w14:paraId="52708E28" w14:textId="77777777" w:rsidR="005D2EB1" w:rsidRPr="00382C30" w:rsidRDefault="005D2EB1" w:rsidP="005D2EB1">
            <w:pPr>
              <w:spacing w:before="100" w:beforeAutospacing="1" w:after="100" w:afterAutospacing="1"/>
              <w:rPr>
                <w:rFonts w:ascii="Times New Roman" w:hAnsi="Times New Roman" w:cs="Times New Roman"/>
                <w:sz w:val="24"/>
                <w:szCs w:val="24"/>
              </w:rPr>
            </w:pPr>
          </w:p>
        </w:tc>
      </w:tr>
    </w:tbl>
    <w:p w14:paraId="02C2FDFB" w14:textId="77777777" w:rsidR="00D67A3A" w:rsidRPr="00D82414" w:rsidRDefault="00D67A3A" w:rsidP="00940C75">
      <w:pPr>
        <w:spacing w:before="100" w:beforeAutospacing="1" w:after="100" w:afterAutospacing="1"/>
        <w:rPr>
          <w:rFonts w:ascii="Times New Roman" w:hAnsi="Times New Roman" w:cs="Times New Roman"/>
          <w:b/>
          <w:color w:val="000099"/>
          <w:sz w:val="32"/>
          <w:szCs w:val="24"/>
        </w:rPr>
        <w:sectPr w:rsidR="00D67A3A" w:rsidRPr="00D82414" w:rsidSect="00223F88">
          <w:footerReference w:type="default" r:id="rId10"/>
          <w:pgSz w:w="12240" w:h="15840"/>
          <w:pgMar w:top="1440" w:right="720" w:bottom="1440" w:left="1440" w:header="720" w:footer="720" w:gutter="0"/>
          <w:pgNumType w:start="431"/>
          <w:cols w:space="720"/>
          <w:docGrid w:linePitch="360"/>
        </w:sectPr>
      </w:pPr>
    </w:p>
    <w:p w14:paraId="0D963338" w14:textId="77777777" w:rsidR="00665945" w:rsidRPr="00D82414" w:rsidRDefault="00D21CD8" w:rsidP="00940C75">
      <w:pPr>
        <w:spacing w:before="100" w:beforeAutospacing="1" w:after="100" w:afterAutospacing="1" w:line="240" w:lineRule="auto"/>
        <w:rPr>
          <w:rFonts w:ascii="Times New Roman" w:hAnsi="Times New Roman" w:cs="Times New Roman"/>
          <w:b/>
          <w:sz w:val="24"/>
          <w:szCs w:val="24"/>
        </w:rPr>
      </w:pPr>
      <w:r w:rsidRPr="00D82414">
        <w:rPr>
          <w:rFonts w:ascii="Segoe UI" w:hAnsi="Segoe UI" w:cs="Segoe UI"/>
          <w:b/>
          <w:color w:val="000099"/>
          <w:sz w:val="32"/>
          <w:szCs w:val="24"/>
        </w:rPr>
        <w:t>Introduction</w:t>
      </w:r>
    </w:p>
    <w:p w14:paraId="5637A531" w14:textId="77777777" w:rsidR="00D21CD8" w:rsidRPr="00D82414" w:rsidRDefault="00D21CD8" w:rsidP="00940C75">
      <w:pPr>
        <w:spacing w:before="100" w:beforeAutospacing="1" w:after="100" w:afterAutospacing="1" w:line="240" w:lineRule="auto"/>
        <w:rPr>
          <w:rFonts w:ascii="Times New Roman" w:hAnsi="Times New Roman" w:cs="Times New Roman"/>
          <w:sz w:val="24"/>
          <w:szCs w:val="24"/>
        </w:rPr>
        <w:sectPr w:rsidR="00D21CD8" w:rsidRPr="00D82414" w:rsidSect="00C7237D">
          <w:type w:val="continuous"/>
          <w:pgSz w:w="12240" w:h="15840"/>
          <w:pgMar w:top="1440" w:right="720" w:bottom="1440" w:left="1440" w:header="720" w:footer="720" w:gutter="0"/>
          <w:cols w:num="2" w:space="576"/>
          <w:docGrid w:linePitch="360"/>
        </w:sectPr>
      </w:pPr>
    </w:p>
    <w:p w14:paraId="6EEB6052" w14:textId="076551AD" w:rsidR="00CF6849" w:rsidRPr="00CF6849" w:rsidRDefault="00CF6849" w:rsidP="00CF6849">
      <w:pPr>
        <w:shd w:val="clear" w:color="auto" w:fill="FFFFFF"/>
        <w:spacing w:after="160" w:line="240" w:lineRule="auto"/>
        <w:rPr>
          <w:rFonts w:ascii="Times New Roman" w:eastAsia="Calibri" w:hAnsi="Times New Roman" w:cs="Times New Roman"/>
          <w:sz w:val="24"/>
          <w:lang w:val="en-GB"/>
        </w:rPr>
      </w:pPr>
      <w:bookmarkStart w:id="0" w:name="_Toc80086749"/>
      <w:r w:rsidRPr="00CF6849">
        <w:rPr>
          <w:rFonts w:ascii="Times New Roman" w:eastAsia="Calibri" w:hAnsi="Times New Roman" w:cs="Times New Roman"/>
          <w:sz w:val="24"/>
          <w:lang w:val="en-GB"/>
        </w:rPr>
        <w:t xml:space="preserve">The pattern of hospital admissions is an indicator of the overall burden of disease within a health system and thus instrumental in the determination of resource allocation, health policy, and clinical priorities. The epidemiological shift towards non-communicable diseases (NCDs) has become a real trend in most low- and middle-income countries, and Ethiopia is no exception in line with its urban and peri-urban areas </w:t>
      </w:r>
      <w:r w:rsidR="00076EE8">
        <w:rPr>
          <w:rFonts w:ascii="Times New Roman" w:eastAsia="Calibri" w:hAnsi="Times New Roman" w:cs="Times New Roman"/>
          <w:sz w:val="24"/>
          <w:lang w:val="en-GB"/>
        </w:rPr>
        <w:t>(1)</w:t>
      </w:r>
      <w:r w:rsidRPr="00CF6849">
        <w:rPr>
          <w:rFonts w:ascii="Times New Roman" w:eastAsia="Calibri" w:hAnsi="Times New Roman" w:cs="Times New Roman"/>
          <w:sz w:val="24"/>
          <w:lang w:val="en-GB"/>
        </w:rPr>
        <w:t>. Historically, communicable diseases</w:t>
      </w:r>
      <w:r w:rsidR="00B30F49">
        <w:rPr>
          <w:rFonts w:ascii="Times New Roman" w:eastAsia="Calibri" w:hAnsi="Times New Roman" w:cs="Times New Roman"/>
          <w:sz w:val="24"/>
          <w:lang w:val="en-GB"/>
        </w:rPr>
        <w:t xml:space="preserve"> (CDs)</w:t>
      </w:r>
      <w:r w:rsidRPr="00CF6849">
        <w:rPr>
          <w:rFonts w:ascii="Times New Roman" w:eastAsia="Calibri" w:hAnsi="Times New Roman" w:cs="Times New Roman"/>
          <w:sz w:val="24"/>
          <w:lang w:val="en-GB"/>
        </w:rPr>
        <w:t xml:space="preserve"> like malaria, tuberculosis, and acute respiratory infections were the most prevalent causes of admissions and deaths in Ethiopian hospitals</w:t>
      </w:r>
      <w:r w:rsidR="00076EE8">
        <w:rPr>
          <w:rFonts w:ascii="Times New Roman" w:eastAsia="Calibri" w:hAnsi="Times New Roman" w:cs="Times New Roman"/>
          <w:sz w:val="24"/>
          <w:lang w:val="en-GB"/>
        </w:rPr>
        <w:t xml:space="preserve"> (2)</w:t>
      </w:r>
      <w:r w:rsidRPr="00CF6849">
        <w:rPr>
          <w:rFonts w:ascii="Times New Roman" w:eastAsia="Calibri" w:hAnsi="Times New Roman" w:cs="Times New Roman"/>
          <w:sz w:val="24"/>
          <w:lang w:val="en-GB"/>
        </w:rPr>
        <w:t>. The latest reports, however, show an increasing pattern of admissions that have been attributed to NCDs encompassing cardiovascular diseases, diabetes mellitus, chronic kidney disease, and malignancies</w:t>
      </w:r>
      <w:r w:rsidR="00076EE8">
        <w:rPr>
          <w:rFonts w:ascii="Times New Roman" w:eastAsia="Calibri" w:hAnsi="Times New Roman" w:cs="Times New Roman"/>
          <w:sz w:val="24"/>
          <w:lang w:val="en-GB"/>
        </w:rPr>
        <w:t xml:space="preserve"> (3)</w:t>
      </w:r>
      <w:r w:rsidRPr="00CF6849">
        <w:rPr>
          <w:rFonts w:ascii="Times New Roman" w:eastAsia="Calibri" w:hAnsi="Times New Roman" w:cs="Times New Roman"/>
          <w:sz w:val="24"/>
          <w:lang w:val="en-GB"/>
        </w:rPr>
        <w:t>. This has been due to the changing pattern attributed to fast urbanisation, change of lifestyle, better control of infectious diseases, and increased life expectancy</w:t>
      </w:r>
      <w:r w:rsidR="00076EE8">
        <w:rPr>
          <w:rFonts w:ascii="Times New Roman" w:eastAsia="Calibri" w:hAnsi="Times New Roman" w:cs="Times New Roman"/>
          <w:sz w:val="24"/>
          <w:lang w:val="en-GB"/>
        </w:rPr>
        <w:t xml:space="preserve"> (4).</w:t>
      </w:r>
      <w:r w:rsidR="00076EE8" w:rsidRPr="00CF6849">
        <w:rPr>
          <w:rFonts w:ascii="Times New Roman" w:eastAsia="Calibri" w:hAnsi="Times New Roman" w:cs="Times New Roman"/>
          <w:sz w:val="24"/>
          <w:lang w:val="en-GB"/>
        </w:rPr>
        <w:t xml:space="preserve"> </w:t>
      </w:r>
    </w:p>
    <w:p w14:paraId="56DB2951" w14:textId="038E34FB" w:rsidR="00CF6849" w:rsidRPr="00CF6849" w:rsidRDefault="00CF6849" w:rsidP="00CF6849">
      <w:pPr>
        <w:shd w:val="clear" w:color="auto" w:fill="FFFFFF"/>
        <w:spacing w:after="160" w:line="240" w:lineRule="auto"/>
        <w:rPr>
          <w:rFonts w:ascii="Times New Roman" w:eastAsia="Calibri" w:hAnsi="Times New Roman" w:cs="Times New Roman"/>
          <w:b/>
          <w:sz w:val="24"/>
          <w:lang w:val="en-GB"/>
        </w:rPr>
      </w:pPr>
      <w:r w:rsidRPr="00CF6849">
        <w:rPr>
          <w:rFonts w:ascii="Times New Roman" w:eastAsia="Calibri" w:hAnsi="Times New Roman" w:cs="Times New Roman"/>
          <w:sz w:val="24"/>
          <w:lang w:val="en-GB"/>
        </w:rPr>
        <w:t xml:space="preserve">CDs are the leading cause of hospitalisation in low-and middle-income countries, yet in high-income countries, the cause of hospitalisation more often includes NCDs </w:t>
      </w:r>
      <w:r w:rsidR="00076EE8">
        <w:rPr>
          <w:rFonts w:ascii="Times New Roman" w:eastAsia="Calibri" w:hAnsi="Times New Roman" w:cs="Times New Roman"/>
          <w:sz w:val="24"/>
          <w:lang w:val="en-GB"/>
        </w:rPr>
        <w:t>(4,5)</w:t>
      </w:r>
      <w:r w:rsidRPr="00CF6849">
        <w:rPr>
          <w:rFonts w:ascii="Times New Roman" w:eastAsia="Calibri" w:hAnsi="Times New Roman" w:cs="Times New Roman"/>
          <w:sz w:val="24"/>
          <w:lang w:val="en-GB"/>
        </w:rPr>
        <w:t xml:space="preserve">. The burden of the disease in sub-Saharan Africa in adults is not well captured; the projections of the World Health Organization, however, suggest that there is a significant shift in patterns of disease and causes of death in this region, where most NCDs are likely to be the number one cause of morbidity and mortality by the year 2025 </w:t>
      </w:r>
      <w:r w:rsidR="00076EE8">
        <w:rPr>
          <w:rFonts w:ascii="Times New Roman" w:eastAsia="Calibri" w:hAnsi="Times New Roman" w:cs="Times New Roman"/>
          <w:sz w:val="24"/>
          <w:lang w:val="en-GB"/>
        </w:rPr>
        <w:t>(6,7)</w:t>
      </w:r>
      <w:r w:rsidRPr="00CF6849">
        <w:rPr>
          <w:rFonts w:ascii="Times New Roman" w:eastAsia="Calibri" w:hAnsi="Times New Roman" w:cs="Times New Roman"/>
          <w:sz w:val="24"/>
          <w:lang w:val="en-GB"/>
        </w:rPr>
        <w:t>. This tendency is greatly explained by high urbanisation and lifestyle changes that are related to westernisation. The NCD burden has increased due to urbanisation and westernisation, which have resulted in decreased physical activity, a change in diet, and prevalence of obesity and hypertension</w:t>
      </w:r>
      <w:r w:rsidR="00076EE8">
        <w:rPr>
          <w:rFonts w:ascii="Times New Roman" w:eastAsia="Calibri" w:hAnsi="Times New Roman" w:cs="Times New Roman"/>
          <w:sz w:val="24"/>
          <w:lang w:val="en-GB"/>
        </w:rPr>
        <w:t xml:space="preserve"> (3)</w:t>
      </w:r>
      <w:r w:rsidRPr="00CF6849">
        <w:rPr>
          <w:rFonts w:ascii="Times New Roman" w:eastAsia="Calibri" w:hAnsi="Times New Roman" w:cs="Times New Roman"/>
          <w:sz w:val="24"/>
          <w:lang w:val="en-GB"/>
        </w:rPr>
        <w:t xml:space="preserve">. Still, </w:t>
      </w:r>
      <w:r w:rsidR="001B4873">
        <w:rPr>
          <w:rFonts w:ascii="Times New Roman" w:eastAsia="Calibri" w:hAnsi="Times New Roman" w:cs="Times New Roman"/>
          <w:sz w:val="24"/>
          <w:lang w:val="en-GB"/>
        </w:rPr>
        <w:t>CDs</w:t>
      </w:r>
      <w:r w:rsidRPr="00CF6849">
        <w:rPr>
          <w:rFonts w:ascii="Times New Roman" w:eastAsia="Calibri" w:hAnsi="Times New Roman" w:cs="Times New Roman"/>
          <w:sz w:val="24"/>
          <w:lang w:val="en-GB"/>
        </w:rPr>
        <w:t xml:space="preserve"> have a prominent presence as a cause of morbidity and mortality, especially in terms of rural and underserved patients</w:t>
      </w:r>
      <w:r w:rsidR="00076EE8">
        <w:rPr>
          <w:rFonts w:ascii="Times New Roman" w:eastAsia="Calibri" w:hAnsi="Times New Roman" w:cs="Times New Roman"/>
          <w:sz w:val="24"/>
          <w:lang w:val="en-GB"/>
        </w:rPr>
        <w:t xml:space="preserve"> (8).</w:t>
      </w:r>
      <w:r w:rsidR="00076EE8" w:rsidRPr="00CF6849">
        <w:rPr>
          <w:rFonts w:ascii="Times New Roman" w:eastAsia="Calibri" w:hAnsi="Times New Roman" w:cs="Times New Roman"/>
          <w:b/>
          <w:sz w:val="24"/>
          <w:lang w:val="en-GB"/>
        </w:rPr>
        <w:t xml:space="preserve"> </w:t>
      </w:r>
    </w:p>
    <w:p w14:paraId="30CCF3A6" w14:textId="1F52AD19" w:rsidR="00CF6849" w:rsidRPr="00CF6849" w:rsidRDefault="00CF6849" w:rsidP="00CF6849">
      <w:pPr>
        <w:shd w:val="clear" w:color="auto" w:fill="FFFFFF"/>
        <w:spacing w:after="240" w:line="240" w:lineRule="auto"/>
        <w:rPr>
          <w:rFonts w:ascii="Times New Roman" w:eastAsia="Calibri" w:hAnsi="Times New Roman" w:cs="Times New Roman"/>
          <w:sz w:val="24"/>
          <w:lang w:val="en-GB"/>
        </w:rPr>
      </w:pPr>
      <w:r w:rsidRPr="00CF6849">
        <w:rPr>
          <w:rFonts w:ascii="Times New Roman" w:eastAsia="Calibri" w:hAnsi="Times New Roman" w:cs="Times New Roman"/>
          <w:sz w:val="24"/>
          <w:lang w:val="en-GB"/>
        </w:rPr>
        <w:t>Knowledge of the existing diversity of diseases that cause admissions to hospitals is necessary in order to make informed health planning and prioritization. In Ethiopia, the studies conducted earlier reveal the admission pattern inconsistency between different regions and hospitals, depending on demographic, socioeconomic, and environmental factors</w:t>
      </w:r>
      <w:r w:rsidR="00076EE8">
        <w:rPr>
          <w:rFonts w:ascii="Times New Roman" w:eastAsia="Calibri" w:hAnsi="Times New Roman" w:cs="Times New Roman"/>
          <w:sz w:val="24"/>
          <w:lang w:val="en-GB"/>
        </w:rPr>
        <w:t xml:space="preserve"> (9)</w:t>
      </w:r>
      <w:r w:rsidRPr="00CF6849">
        <w:rPr>
          <w:rFonts w:ascii="Times New Roman" w:eastAsia="Calibri" w:hAnsi="Times New Roman" w:cs="Times New Roman"/>
          <w:sz w:val="24"/>
          <w:lang w:val="en-GB"/>
        </w:rPr>
        <w:t xml:space="preserve">. Nevertheless, up-to-date statistics concerning the comparison between </w:t>
      </w:r>
      <w:r w:rsidR="00B30F49">
        <w:rPr>
          <w:rFonts w:ascii="Times New Roman" w:eastAsia="Calibri" w:hAnsi="Times New Roman" w:cs="Times New Roman"/>
          <w:sz w:val="24"/>
          <w:lang w:val="en-GB"/>
        </w:rPr>
        <w:t>CD</w:t>
      </w:r>
      <w:r w:rsidRPr="00CF6849">
        <w:rPr>
          <w:rFonts w:ascii="Times New Roman" w:eastAsia="Calibri" w:hAnsi="Times New Roman" w:cs="Times New Roman"/>
          <w:sz w:val="24"/>
          <w:lang w:val="en-GB"/>
        </w:rPr>
        <w:t xml:space="preserve"> and </w:t>
      </w:r>
      <w:r w:rsidR="00B30F49">
        <w:rPr>
          <w:rFonts w:ascii="Times New Roman" w:eastAsia="Calibri" w:hAnsi="Times New Roman" w:cs="Times New Roman"/>
          <w:sz w:val="24"/>
          <w:lang w:val="en-GB"/>
        </w:rPr>
        <w:t>NCDs</w:t>
      </w:r>
      <w:r w:rsidRPr="00CF6849">
        <w:rPr>
          <w:rFonts w:ascii="Times New Roman" w:eastAsia="Calibri" w:hAnsi="Times New Roman" w:cs="Times New Roman"/>
          <w:sz w:val="24"/>
          <w:lang w:val="en-GB"/>
        </w:rPr>
        <w:t xml:space="preserve"> concerning their contribution to the number of hospitalised individuals are scarce, particularly due to the occurrence of the epidemiological transition. Consequently, the objective of this study is to determine the pattern of hospital admissions due to </w:t>
      </w:r>
      <w:r w:rsidR="00B30F49">
        <w:rPr>
          <w:rFonts w:ascii="Times New Roman" w:eastAsia="Calibri" w:hAnsi="Times New Roman" w:cs="Times New Roman"/>
          <w:sz w:val="24"/>
          <w:lang w:val="en-GB"/>
        </w:rPr>
        <w:t>CDs</w:t>
      </w:r>
      <w:r w:rsidRPr="00CF6849">
        <w:rPr>
          <w:rFonts w:ascii="Times New Roman" w:eastAsia="Calibri" w:hAnsi="Times New Roman" w:cs="Times New Roman"/>
          <w:sz w:val="24"/>
          <w:lang w:val="en-GB"/>
        </w:rPr>
        <w:t xml:space="preserve"> compared to</w:t>
      </w:r>
      <w:r w:rsidR="00B30F49">
        <w:rPr>
          <w:rFonts w:ascii="Times New Roman" w:eastAsia="Calibri" w:hAnsi="Times New Roman" w:cs="Times New Roman"/>
          <w:sz w:val="24"/>
          <w:lang w:val="en-GB"/>
        </w:rPr>
        <w:t xml:space="preserve"> NCDs </w:t>
      </w:r>
      <w:r w:rsidRPr="00CF6849">
        <w:rPr>
          <w:rFonts w:ascii="Times New Roman" w:eastAsia="Calibri" w:hAnsi="Times New Roman" w:cs="Times New Roman"/>
          <w:sz w:val="24"/>
          <w:lang w:val="en-GB"/>
        </w:rPr>
        <w:t>during the study period and to investigate how demographic factors are associated with these disease categories. Additionally, the study aims to identify the most common individual communicable and non-communicable diseases among patients admitted to the medical ward of the Hawassa University Comprehensive Hospital. The study results will be of great utility to clinicians, hospital managers, and policymakers in the ongoing Ethiopian health sector to ensure the best care for patients and the efficient use of their resources.</w:t>
      </w:r>
    </w:p>
    <w:bookmarkEnd w:id="0"/>
    <w:p w14:paraId="0F350360" w14:textId="77777777" w:rsidR="00FA650F" w:rsidRDefault="005823B0" w:rsidP="00FA650F">
      <w:pPr>
        <w:spacing w:before="100" w:beforeAutospacing="1" w:after="100" w:afterAutospacing="1" w:line="240" w:lineRule="auto"/>
        <w:rPr>
          <w:rFonts w:ascii="Segoe UI" w:hAnsi="Segoe UI" w:cs="Segoe UI"/>
          <w:b/>
          <w:color w:val="000099"/>
          <w:sz w:val="32"/>
          <w:szCs w:val="24"/>
        </w:rPr>
      </w:pPr>
      <w:r w:rsidRPr="00965698">
        <w:rPr>
          <w:rFonts w:ascii="Segoe UI" w:hAnsi="Segoe UI" w:cs="Segoe UI"/>
          <w:b/>
          <w:color w:val="000099"/>
          <w:sz w:val="32"/>
          <w:szCs w:val="24"/>
        </w:rPr>
        <w:t>Methods and materials</w:t>
      </w:r>
      <w:bookmarkStart w:id="1" w:name="_Toc45394904"/>
    </w:p>
    <w:p w14:paraId="7FCF26C1" w14:textId="6459ED7C" w:rsidR="00FA650F" w:rsidRPr="00924008" w:rsidRDefault="00590728" w:rsidP="00FA650F">
      <w:pPr>
        <w:spacing w:before="100" w:beforeAutospacing="1" w:after="100" w:afterAutospacing="1" w:line="240" w:lineRule="auto"/>
        <w:rPr>
          <w:rFonts w:ascii="Times New Roman" w:hAnsi="Times New Roman" w:cs="Times New Roman"/>
          <w:b/>
          <w:sz w:val="24"/>
          <w:szCs w:val="24"/>
        </w:rPr>
      </w:pPr>
      <w:r w:rsidRPr="00924008">
        <w:rPr>
          <w:rFonts w:ascii="Times New Roman" w:hAnsi="Times New Roman" w:cs="Times New Roman"/>
          <w:b/>
          <w:sz w:val="24"/>
          <w:szCs w:val="24"/>
        </w:rPr>
        <w:t>Study Area</w:t>
      </w:r>
      <w:bookmarkEnd w:id="1"/>
      <w:r w:rsidR="008050D7">
        <w:rPr>
          <w:rFonts w:ascii="Times New Roman" w:hAnsi="Times New Roman" w:cs="Times New Roman"/>
          <w:b/>
          <w:sz w:val="24"/>
          <w:szCs w:val="24"/>
        </w:rPr>
        <w:t xml:space="preserve">      </w:t>
      </w:r>
    </w:p>
    <w:p w14:paraId="57628397" w14:textId="3D08063D" w:rsidR="00CF6849" w:rsidRPr="00CF6849" w:rsidRDefault="00CF6849" w:rsidP="00CF6849">
      <w:pPr>
        <w:spacing w:line="240" w:lineRule="auto"/>
        <w:rPr>
          <w:rFonts w:ascii="Times New Roman" w:hAnsi="Times New Roman" w:cs="Times New Roman"/>
          <w:sz w:val="24"/>
          <w:szCs w:val="24"/>
        </w:rPr>
      </w:pPr>
      <w:bookmarkStart w:id="2" w:name="_Toc45394905"/>
      <w:bookmarkStart w:id="3" w:name="_Toc114552803"/>
      <w:r w:rsidRPr="00CF6849">
        <w:rPr>
          <w:rFonts w:ascii="Times New Roman" w:hAnsi="Times New Roman" w:cs="Times New Roman"/>
          <w:sz w:val="24"/>
          <w:szCs w:val="24"/>
        </w:rPr>
        <w:t xml:space="preserve">The study was conducted in Hawassa University Comprehensive </w:t>
      </w:r>
      <w:r w:rsidR="000D7CFC" w:rsidRPr="00CF6849">
        <w:rPr>
          <w:rFonts w:ascii="Times New Roman" w:hAnsi="Times New Roman" w:cs="Times New Roman"/>
          <w:sz w:val="24"/>
          <w:szCs w:val="24"/>
        </w:rPr>
        <w:t>Specialized</w:t>
      </w:r>
      <w:r w:rsidRPr="00CF6849">
        <w:rPr>
          <w:rFonts w:ascii="Times New Roman" w:hAnsi="Times New Roman" w:cs="Times New Roman"/>
          <w:sz w:val="24"/>
          <w:szCs w:val="24"/>
        </w:rPr>
        <w:t xml:space="preserve"> Hospital, located in Hawassa town, Sidama regional state, Southern Ethiopia. The town is 275 km south of the capital city, Addis Ababa. The study period was from January 2024 to December 2024.</w:t>
      </w:r>
    </w:p>
    <w:p w14:paraId="534C9D1C" w14:textId="77777777" w:rsidR="00F83452" w:rsidRDefault="00F83452" w:rsidP="00590728">
      <w:pPr>
        <w:pStyle w:val="Heading2"/>
        <w:spacing w:line="240" w:lineRule="auto"/>
        <w:rPr>
          <w:rFonts w:ascii="Times New Roman" w:hAnsi="Times New Roman" w:cs="Times New Roman"/>
          <w:b/>
          <w:color w:val="auto"/>
          <w:sz w:val="24"/>
          <w:szCs w:val="24"/>
        </w:rPr>
      </w:pPr>
    </w:p>
    <w:p w14:paraId="53EC344F" w14:textId="1F3066D9" w:rsidR="00590728" w:rsidRDefault="00590728" w:rsidP="00590728">
      <w:pPr>
        <w:pStyle w:val="Heading2"/>
        <w:spacing w:line="240" w:lineRule="auto"/>
        <w:rPr>
          <w:rFonts w:ascii="Times New Roman" w:hAnsi="Times New Roman" w:cs="Times New Roman"/>
          <w:b/>
          <w:color w:val="auto"/>
          <w:sz w:val="24"/>
          <w:szCs w:val="24"/>
        </w:rPr>
      </w:pPr>
      <w:r w:rsidRPr="00924008">
        <w:rPr>
          <w:rFonts w:ascii="Times New Roman" w:hAnsi="Times New Roman" w:cs="Times New Roman"/>
          <w:b/>
          <w:color w:val="auto"/>
          <w:sz w:val="24"/>
          <w:szCs w:val="24"/>
        </w:rPr>
        <w:t>Study Design and Period</w:t>
      </w:r>
      <w:bookmarkEnd w:id="2"/>
    </w:p>
    <w:p w14:paraId="1ADA2E78" w14:textId="4BF2955A" w:rsidR="00CF6849" w:rsidRDefault="00CF6849" w:rsidP="00E63842">
      <w:pPr>
        <w:pStyle w:val="NoSpacing"/>
        <w:spacing w:before="240" w:after="240"/>
        <w:jc w:val="both"/>
        <w:rPr>
          <w:rFonts w:ascii="Times New Roman" w:hAnsi="Times New Roman" w:cs="Times New Roman"/>
          <w:sz w:val="24"/>
          <w:szCs w:val="24"/>
        </w:rPr>
      </w:pPr>
      <w:bookmarkStart w:id="4" w:name="_Toc17057557"/>
      <w:r w:rsidRPr="00CF6849">
        <w:rPr>
          <w:rFonts w:ascii="Times New Roman" w:hAnsi="Times New Roman" w:cs="Times New Roman"/>
          <w:sz w:val="24"/>
          <w:szCs w:val="24"/>
        </w:rPr>
        <w:t>A</w:t>
      </w:r>
      <w:r w:rsidR="00BB5679">
        <w:rPr>
          <w:rFonts w:ascii="Times New Roman" w:hAnsi="Times New Roman" w:cs="Times New Roman"/>
          <w:sz w:val="24"/>
          <w:szCs w:val="24"/>
        </w:rPr>
        <w:t xml:space="preserve"> hospital</w:t>
      </w:r>
      <w:r w:rsidR="008050D7">
        <w:rPr>
          <w:rFonts w:ascii="Times New Roman" w:hAnsi="Times New Roman" w:cs="Times New Roman"/>
          <w:sz w:val="24"/>
          <w:szCs w:val="24"/>
        </w:rPr>
        <w:t>-</w:t>
      </w:r>
      <w:r w:rsidRPr="00CF6849">
        <w:rPr>
          <w:rFonts w:ascii="Times New Roman" w:hAnsi="Times New Roman" w:cs="Times New Roman"/>
          <w:sz w:val="24"/>
          <w:szCs w:val="24"/>
        </w:rPr>
        <w:t xml:space="preserve">based </w:t>
      </w:r>
      <w:r w:rsidR="00BB5679">
        <w:rPr>
          <w:rFonts w:ascii="Times New Roman" w:hAnsi="Times New Roman" w:cs="Times New Roman"/>
          <w:sz w:val="24"/>
          <w:szCs w:val="24"/>
        </w:rPr>
        <w:t xml:space="preserve">descriptive </w:t>
      </w:r>
      <w:r w:rsidRPr="00CF6849">
        <w:rPr>
          <w:rFonts w:ascii="Times New Roman" w:hAnsi="Times New Roman" w:cs="Times New Roman"/>
          <w:sz w:val="24"/>
          <w:szCs w:val="24"/>
        </w:rPr>
        <w:t>cross-sectional study design was employed</w:t>
      </w:r>
      <w:r>
        <w:rPr>
          <w:rFonts w:ascii="Times New Roman" w:hAnsi="Times New Roman" w:cs="Times New Roman"/>
          <w:sz w:val="24"/>
          <w:szCs w:val="24"/>
        </w:rPr>
        <w:t xml:space="preserve"> among </w:t>
      </w:r>
      <w:r w:rsidRPr="00CF6849">
        <w:rPr>
          <w:rFonts w:ascii="Times New Roman" w:hAnsi="Times New Roman" w:cs="Times New Roman"/>
          <w:sz w:val="24"/>
          <w:szCs w:val="24"/>
        </w:rPr>
        <w:t>patients admitted to the medical ward</w:t>
      </w:r>
      <w:r w:rsidR="00E63842">
        <w:rPr>
          <w:rFonts w:ascii="Times New Roman" w:hAnsi="Times New Roman" w:cs="Times New Roman"/>
          <w:sz w:val="24"/>
          <w:szCs w:val="24"/>
        </w:rPr>
        <w:t>.</w:t>
      </w:r>
      <w:r w:rsidRPr="00CF6849">
        <w:rPr>
          <w:rFonts w:ascii="Times New Roman" w:hAnsi="Times New Roman" w:cs="Times New Roman"/>
          <w:sz w:val="24"/>
          <w:szCs w:val="24"/>
        </w:rPr>
        <w:t xml:space="preserve"> </w:t>
      </w:r>
    </w:p>
    <w:p w14:paraId="2614A9F7" w14:textId="77777777" w:rsidR="00590728" w:rsidRPr="00924008" w:rsidRDefault="00590728" w:rsidP="00E63842">
      <w:pPr>
        <w:pStyle w:val="Heading2"/>
        <w:spacing w:line="240" w:lineRule="auto"/>
        <w:rPr>
          <w:rFonts w:ascii="Times New Roman" w:hAnsi="Times New Roman" w:cs="Times New Roman"/>
          <w:b/>
          <w:color w:val="auto"/>
          <w:sz w:val="24"/>
          <w:szCs w:val="24"/>
        </w:rPr>
      </w:pPr>
      <w:r w:rsidRPr="00924008">
        <w:rPr>
          <w:rFonts w:ascii="Times New Roman" w:hAnsi="Times New Roman" w:cs="Times New Roman"/>
          <w:b/>
          <w:color w:val="auto"/>
          <w:sz w:val="24"/>
          <w:szCs w:val="24"/>
        </w:rPr>
        <w:t>Source and Study population</w:t>
      </w:r>
    </w:p>
    <w:p w14:paraId="69290AB2" w14:textId="37954ECC" w:rsidR="00CF6849" w:rsidRDefault="00CF6849" w:rsidP="00E63842">
      <w:pPr>
        <w:pStyle w:val="NoSpacing"/>
        <w:spacing w:before="240" w:after="240"/>
        <w:jc w:val="both"/>
        <w:rPr>
          <w:rFonts w:ascii="Times New Roman" w:hAnsi="Times New Roman" w:cs="Times New Roman"/>
          <w:sz w:val="24"/>
          <w:szCs w:val="24"/>
        </w:rPr>
      </w:pPr>
      <w:bookmarkStart w:id="5" w:name="_Toc472081850"/>
      <w:bookmarkStart w:id="6" w:name="_Toc472111177"/>
      <w:bookmarkStart w:id="7" w:name="_Toc517104397"/>
      <w:bookmarkEnd w:id="4"/>
      <w:r w:rsidRPr="00CF6849">
        <w:rPr>
          <w:rFonts w:ascii="Times New Roman" w:hAnsi="Times New Roman" w:cs="Times New Roman"/>
          <w:sz w:val="24"/>
          <w:szCs w:val="24"/>
        </w:rPr>
        <w:t>The study included all adult patients aged 15 years and above who were admitted to the medical ward during the study period and had complete medical records, including demographics, diagnosis, and discharge status. Patients with incomplete records or those transferred to other departments (e.g., surgical or obstetric wards) were excluded to maintain data consistency.</w:t>
      </w:r>
    </w:p>
    <w:p w14:paraId="560B22F8" w14:textId="77777777" w:rsidR="00CF6849" w:rsidRPr="00CF6849" w:rsidRDefault="00CF6849" w:rsidP="00CF6849">
      <w:r w:rsidRPr="00CF6849">
        <w:rPr>
          <w:rFonts w:ascii="Times New Roman" w:eastAsiaTheme="majorEastAsia" w:hAnsi="Times New Roman" w:cs="Times New Roman"/>
          <w:b/>
          <w:sz w:val="24"/>
          <w:szCs w:val="24"/>
        </w:rPr>
        <w:t>Variable and Outcome Measurement</w:t>
      </w:r>
    </w:p>
    <w:p w14:paraId="01F4E0D5" w14:textId="39623D97" w:rsidR="00CF6849" w:rsidRDefault="00CF6849" w:rsidP="00CF6849">
      <w:pPr>
        <w:spacing w:line="240" w:lineRule="auto"/>
        <w:rPr>
          <w:rFonts w:ascii="Times New Roman" w:eastAsia="Calibri" w:hAnsi="Times New Roman" w:cs="Times New Roman"/>
          <w:bCs/>
          <w:sz w:val="24"/>
          <w:szCs w:val="24"/>
        </w:rPr>
      </w:pPr>
      <w:r w:rsidRPr="00CF6849">
        <w:rPr>
          <w:rFonts w:ascii="Times New Roman" w:eastAsia="Calibri" w:hAnsi="Times New Roman" w:cs="Times New Roman"/>
          <w:bCs/>
          <w:sz w:val="24"/>
          <w:szCs w:val="24"/>
        </w:rPr>
        <w:t xml:space="preserve">The independent variables included demographic, clinical, and admission-related predictors (age, sex, residency, referral status, and diagnosis). The dependent variables concentrated on two main sets of outcomes: (a) the primary diagnosis coded ICD-10 codes (like the </w:t>
      </w:r>
      <w:r w:rsidR="001B4873">
        <w:rPr>
          <w:rFonts w:ascii="Times New Roman" w:eastAsia="Calibri" w:hAnsi="Times New Roman" w:cs="Times New Roman"/>
          <w:bCs/>
          <w:sz w:val="24"/>
          <w:szCs w:val="24"/>
        </w:rPr>
        <w:t>CDs</w:t>
      </w:r>
      <w:r w:rsidRPr="00CF6849">
        <w:rPr>
          <w:rFonts w:ascii="Times New Roman" w:eastAsia="Calibri" w:hAnsi="Times New Roman" w:cs="Times New Roman"/>
          <w:bCs/>
          <w:sz w:val="24"/>
          <w:szCs w:val="24"/>
        </w:rPr>
        <w:t xml:space="preserve"> and the </w:t>
      </w:r>
      <w:r w:rsidR="001B4873">
        <w:rPr>
          <w:rFonts w:ascii="Times New Roman" w:eastAsia="Calibri" w:hAnsi="Times New Roman" w:cs="Times New Roman"/>
          <w:bCs/>
          <w:sz w:val="24"/>
          <w:szCs w:val="24"/>
        </w:rPr>
        <w:t>NCDs</w:t>
      </w:r>
      <w:r w:rsidRPr="00CF6849">
        <w:rPr>
          <w:rFonts w:ascii="Times New Roman" w:eastAsia="Calibri" w:hAnsi="Times New Roman" w:cs="Times New Roman"/>
          <w:bCs/>
          <w:sz w:val="24"/>
          <w:szCs w:val="24"/>
        </w:rPr>
        <w:t>); and (b) the clinical outcomes, that is, discharge, in-hospital mortality, or referral to a higher level of care. The stratification of diagnosis also occurred based on etiology (</w:t>
      </w:r>
      <w:r w:rsidR="007515F1">
        <w:rPr>
          <w:rFonts w:ascii="Times New Roman" w:eastAsia="Calibri" w:hAnsi="Times New Roman" w:cs="Times New Roman"/>
          <w:bCs/>
          <w:sz w:val="24"/>
          <w:szCs w:val="24"/>
        </w:rPr>
        <w:t>CD</w:t>
      </w:r>
      <w:r w:rsidRPr="00CF6849">
        <w:rPr>
          <w:rFonts w:ascii="Times New Roman" w:eastAsia="Calibri" w:hAnsi="Times New Roman" w:cs="Times New Roman"/>
          <w:bCs/>
          <w:sz w:val="24"/>
          <w:szCs w:val="24"/>
        </w:rPr>
        <w:t xml:space="preserve"> or </w:t>
      </w:r>
      <w:r w:rsidR="007515F1">
        <w:rPr>
          <w:rFonts w:ascii="Times New Roman" w:eastAsia="Calibri" w:hAnsi="Times New Roman" w:cs="Times New Roman"/>
          <w:bCs/>
          <w:sz w:val="24"/>
          <w:szCs w:val="24"/>
        </w:rPr>
        <w:t>NCD</w:t>
      </w:r>
      <w:r w:rsidRPr="00CF6849">
        <w:rPr>
          <w:rFonts w:ascii="Times New Roman" w:eastAsia="Calibri" w:hAnsi="Times New Roman" w:cs="Times New Roman"/>
          <w:bCs/>
          <w:sz w:val="24"/>
          <w:szCs w:val="24"/>
        </w:rPr>
        <w:t>) and severity (such as stroke subtypes or acute infections). Outcomes were defined as ordinal (e.g., number of days a patient spent in hospital) or binary (e.g., dead or alive at the time of discharge), and mortality was determined as death before discharge.</w:t>
      </w:r>
    </w:p>
    <w:p w14:paraId="3489F6A4" w14:textId="77777777" w:rsidR="00CF6849" w:rsidRDefault="00CF6849" w:rsidP="00CF6849">
      <w:pPr>
        <w:spacing w:line="240" w:lineRule="auto"/>
        <w:rPr>
          <w:rFonts w:ascii="Times New Roman" w:hAnsi="Times New Roman" w:cs="Times New Roman"/>
          <w:sz w:val="24"/>
          <w:szCs w:val="24"/>
        </w:rPr>
      </w:pPr>
    </w:p>
    <w:p w14:paraId="03314D0B" w14:textId="77777777" w:rsidR="00CF6849" w:rsidRPr="00CF6849" w:rsidRDefault="00CF6849" w:rsidP="00CF6849">
      <w:pPr>
        <w:shd w:val="clear" w:color="auto" w:fill="FFFFFF"/>
        <w:spacing w:after="160" w:line="259" w:lineRule="auto"/>
        <w:rPr>
          <w:rFonts w:ascii="Times New Roman" w:eastAsia="Calibri" w:hAnsi="Times New Roman" w:cs="Times New Roman"/>
          <w:b/>
          <w:sz w:val="24"/>
          <w:szCs w:val="24"/>
          <w:lang w:val="en-GB"/>
        </w:rPr>
      </w:pPr>
      <w:bookmarkStart w:id="8" w:name="_Ref150118601"/>
      <w:bookmarkEnd w:id="3"/>
      <w:bookmarkEnd w:id="5"/>
      <w:bookmarkEnd w:id="6"/>
      <w:bookmarkEnd w:id="7"/>
      <w:r w:rsidRPr="00CF6849">
        <w:rPr>
          <w:rFonts w:ascii="Times New Roman" w:eastAsia="Calibri" w:hAnsi="Times New Roman" w:cs="Times New Roman"/>
          <w:b/>
          <w:sz w:val="24"/>
          <w:szCs w:val="24"/>
          <w:lang w:val="en-GB"/>
        </w:rPr>
        <w:t>Definition of operational terms</w:t>
      </w:r>
    </w:p>
    <w:p w14:paraId="4764EA48" w14:textId="6C33CE92" w:rsidR="00CF6849" w:rsidRDefault="00CF6849" w:rsidP="00CF6849">
      <w:pPr>
        <w:spacing w:line="240" w:lineRule="auto"/>
        <w:rPr>
          <w:rFonts w:ascii="Times New Roman" w:eastAsia="Calibri" w:hAnsi="Times New Roman" w:cs="Times New Roman"/>
          <w:sz w:val="24"/>
          <w:szCs w:val="24"/>
          <w:lang w:val="en-GB"/>
        </w:rPr>
      </w:pPr>
      <w:r w:rsidRPr="00CF6849">
        <w:rPr>
          <w:rFonts w:ascii="Times New Roman" w:eastAsia="Calibri" w:hAnsi="Times New Roman" w:cs="Times New Roman"/>
          <w:b/>
          <w:bCs/>
          <w:sz w:val="24"/>
          <w:szCs w:val="24"/>
          <w:lang w:val="en-GB"/>
        </w:rPr>
        <w:t>Admission to the medical ward:</w:t>
      </w:r>
      <w:r w:rsidR="008050D7">
        <w:rPr>
          <w:rFonts w:ascii="Times New Roman" w:eastAsia="Calibri" w:hAnsi="Times New Roman" w:cs="Times New Roman"/>
          <w:sz w:val="24"/>
          <w:szCs w:val="24"/>
          <w:lang w:val="en-GB"/>
        </w:rPr>
        <w:t xml:space="preserve"> </w:t>
      </w:r>
      <w:r w:rsidRPr="00CF6849">
        <w:rPr>
          <w:rFonts w:ascii="Times New Roman" w:eastAsia="Calibri" w:hAnsi="Times New Roman" w:cs="Times New Roman"/>
          <w:sz w:val="24"/>
          <w:szCs w:val="24"/>
          <w:lang w:val="en-GB"/>
        </w:rPr>
        <w:t>it is the patient’s entry for diagnosis, treatment, or strict follow-up by healthcare providers.</w:t>
      </w:r>
      <w:r w:rsidR="008050D7">
        <w:rPr>
          <w:rFonts w:ascii="Times New Roman" w:eastAsia="Calibri" w:hAnsi="Times New Roman" w:cs="Times New Roman"/>
          <w:sz w:val="24"/>
          <w:szCs w:val="24"/>
          <w:lang w:val="en-GB"/>
        </w:rPr>
        <w:t xml:space="preserve"> </w:t>
      </w:r>
    </w:p>
    <w:p w14:paraId="5822F578" w14:textId="4EC71B08" w:rsidR="00CF6849" w:rsidRDefault="00CF6849" w:rsidP="00CF6849">
      <w:pPr>
        <w:spacing w:line="240" w:lineRule="auto"/>
        <w:rPr>
          <w:rFonts w:ascii="Times New Roman" w:eastAsia="Calibri" w:hAnsi="Times New Roman" w:cs="Times New Roman"/>
          <w:sz w:val="24"/>
          <w:szCs w:val="24"/>
          <w:lang w:val="en-GB"/>
        </w:rPr>
      </w:pPr>
      <w:r w:rsidRPr="00CF6849">
        <w:rPr>
          <w:rFonts w:ascii="Times New Roman" w:eastAsia="Calibri" w:hAnsi="Times New Roman" w:cs="Times New Roman"/>
          <w:b/>
          <w:bCs/>
          <w:sz w:val="24"/>
          <w:szCs w:val="24"/>
          <w:lang w:val="en-GB"/>
        </w:rPr>
        <w:t>Discharge against medical advice (DAMA):</w:t>
      </w:r>
      <w:r w:rsidRPr="00CF6849">
        <w:rPr>
          <w:rFonts w:ascii="Times New Roman" w:eastAsia="Calibri" w:hAnsi="Times New Roman" w:cs="Times New Roman"/>
          <w:sz w:val="24"/>
          <w:szCs w:val="24"/>
          <w:lang w:val="en-GB"/>
        </w:rPr>
        <w:t xml:space="preserve"> The patient decides to voluntarily depart before completing recommended care. </w:t>
      </w:r>
    </w:p>
    <w:p w14:paraId="0102FCD9" w14:textId="3639855A" w:rsidR="00CF6849" w:rsidRDefault="00CF6849" w:rsidP="00CF6849">
      <w:pPr>
        <w:spacing w:line="240" w:lineRule="auto"/>
        <w:rPr>
          <w:rFonts w:ascii="Times New Roman" w:eastAsia="Calibri" w:hAnsi="Times New Roman" w:cs="Times New Roman"/>
          <w:sz w:val="24"/>
          <w:szCs w:val="24"/>
          <w:lang w:val="en-GB"/>
        </w:rPr>
      </w:pPr>
      <w:r w:rsidRPr="00CF6849">
        <w:rPr>
          <w:rFonts w:ascii="Times New Roman" w:eastAsia="Calibri" w:hAnsi="Times New Roman" w:cs="Times New Roman"/>
          <w:b/>
          <w:bCs/>
          <w:sz w:val="24"/>
          <w:szCs w:val="24"/>
          <w:lang w:val="en-GB"/>
        </w:rPr>
        <w:t>Discharge</w:t>
      </w:r>
      <w:r>
        <w:rPr>
          <w:rFonts w:ascii="Times New Roman" w:eastAsia="Calibri" w:hAnsi="Times New Roman" w:cs="Times New Roman"/>
          <w:sz w:val="24"/>
          <w:szCs w:val="24"/>
          <w:lang w:val="en-GB"/>
        </w:rPr>
        <w:t>:</w:t>
      </w:r>
      <w:r w:rsidRPr="00CF6849">
        <w:rPr>
          <w:rFonts w:ascii="Times New Roman" w:eastAsia="Calibri" w:hAnsi="Times New Roman" w:cs="Times New Roman"/>
          <w:sz w:val="24"/>
          <w:szCs w:val="24"/>
          <w:lang w:val="en-GB"/>
        </w:rPr>
        <w:t xml:space="preserve"> is the formal release of a patient from the hospital after treatment completion or stabilisation. </w:t>
      </w:r>
    </w:p>
    <w:p w14:paraId="24D91541" w14:textId="77777777" w:rsidR="00E63842" w:rsidRDefault="00CF6849" w:rsidP="00CF6849">
      <w:pPr>
        <w:spacing w:line="240" w:lineRule="auto"/>
        <w:rPr>
          <w:rFonts w:ascii="Times New Roman" w:eastAsia="Calibri" w:hAnsi="Times New Roman" w:cs="Times New Roman"/>
          <w:sz w:val="24"/>
          <w:szCs w:val="24"/>
          <w:lang w:val="en-GB"/>
        </w:rPr>
      </w:pPr>
      <w:r w:rsidRPr="00CF6849">
        <w:rPr>
          <w:rFonts w:ascii="Times New Roman" w:eastAsia="Calibri" w:hAnsi="Times New Roman" w:cs="Times New Roman"/>
          <w:b/>
          <w:bCs/>
          <w:sz w:val="24"/>
          <w:szCs w:val="24"/>
          <w:lang w:val="en-GB"/>
        </w:rPr>
        <w:t>Outcomes</w:t>
      </w:r>
      <w:r w:rsidRPr="00CF6849">
        <w:rPr>
          <w:rFonts w:ascii="Times New Roman" w:eastAsia="Calibri" w:hAnsi="Times New Roman" w:cs="Times New Roman"/>
          <w:sz w:val="24"/>
          <w:szCs w:val="24"/>
          <w:lang w:val="en-GB"/>
        </w:rPr>
        <w:t>: the patient’s health status post-admission, including recovery, complications, or mortality.</w:t>
      </w:r>
    </w:p>
    <w:p w14:paraId="56DA56FF" w14:textId="5DC68B41" w:rsidR="00E05357" w:rsidRPr="00CF6849" w:rsidRDefault="00CF6849" w:rsidP="00CF6849">
      <w:pPr>
        <w:spacing w:line="240" w:lineRule="auto"/>
        <w:rPr>
          <w:rFonts w:ascii="Times New Roman" w:eastAsia="Calibri" w:hAnsi="Times New Roman" w:cs="Times New Roman"/>
          <w:sz w:val="24"/>
          <w:szCs w:val="24"/>
          <w:lang w:val="en-GB"/>
        </w:rPr>
      </w:pPr>
      <w:r w:rsidRPr="00CF6849">
        <w:rPr>
          <w:rFonts w:ascii="Times New Roman" w:eastAsia="Calibri" w:hAnsi="Times New Roman" w:cs="Times New Roman"/>
          <w:sz w:val="24"/>
          <w:szCs w:val="24"/>
          <w:lang w:val="en-GB"/>
        </w:rPr>
        <w:t xml:space="preserve"> </w:t>
      </w:r>
    </w:p>
    <w:p w14:paraId="114860D6" w14:textId="77777777" w:rsidR="00E05357" w:rsidRPr="00406E02" w:rsidRDefault="00E05357" w:rsidP="00E05357">
      <w:pPr>
        <w:spacing w:line="240" w:lineRule="auto"/>
        <w:rPr>
          <w:rFonts w:ascii="Times New Roman" w:eastAsia="Calibri" w:hAnsi="Times New Roman" w:cs="Times New Roman"/>
          <w:b/>
          <w:bCs/>
          <w:sz w:val="24"/>
          <w:szCs w:val="24"/>
        </w:rPr>
      </w:pPr>
      <w:r w:rsidRPr="00406E02">
        <w:rPr>
          <w:rFonts w:ascii="Times New Roman" w:eastAsia="Calibri" w:hAnsi="Times New Roman" w:cs="Times New Roman"/>
          <w:b/>
          <w:bCs/>
          <w:sz w:val="24"/>
          <w:szCs w:val="24"/>
        </w:rPr>
        <w:t>Data collection tools and procedures</w:t>
      </w:r>
    </w:p>
    <w:p w14:paraId="20B7B04F" w14:textId="77777777" w:rsidR="00E05357" w:rsidRPr="00406E02" w:rsidRDefault="00E05357" w:rsidP="00E05357">
      <w:pPr>
        <w:spacing w:line="240" w:lineRule="auto"/>
        <w:rPr>
          <w:rFonts w:ascii="Times New Roman" w:eastAsia="Calibri" w:hAnsi="Times New Roman" w:cs="Times New Roman"/>
          <w:b/>
          <w:bCs/>
          <w:sz w:val="24"/>
          <w:szCs w:val="24"/>
        </w:rPr>
      </w:pPr>
    </w:p>
    <w:p w14:paraId="0BA5865B" w14:textId="29E6BE98" w:rsidR="00CF6849" w:rsidRDefault="00CF6849" w:rsidP="00E05357">
      <w:pPr>
        <w:spacing w:line="240" w:lineRule="auto"/>
        <w:rPr>
          <w:rFonts w:ascii="Times New Roman" w:eastAsia="Calibri" w:hAnsi="Times New Roman" w:cs="Times New Roman"/>
          <w:sz w:val="24"/>
          <w:szCs w:val="24"/>
        </w:rPr>
      </w:pPr>
      <w:r w:rsidRPr="00CF6849">
        <w:rPr>
          <w:rFonts w:ascii="Times New Roman" w:eastAsia="Calibri" w:hAnsi="Times New Roman" w:cs="Times New Roman"/>
          <w:sz w:val="24"/>
          <w:szCs w:val="24"/>
        </w:rPr>
        <w:t>A structured checklist was developed based on WHO and Ethiopian Federal Ministry of Health guidelines, and data were retrospectively collected based on a structured checklist using Microsoft Excel 2019 to record variables. Physical and electronic medical records were reviewed by two trained nurses who were recording the main variables such as admission dates, diagnostic test results, and discharge summaries.</w:t>
      </w:r>
      <w:r>
        <w:rPr>
          <w:rFonts w:ascii="Times New Roman" w:eastAsia="Calibri" w:hAnsi="Times New Roman" w:cs="Times New Roman"/>
          <w:sz w:val="24"/>
          <w:szCs w:val="24"/>
        </w:rPr>
        <w:t xml:space="preserve"> </w:t>
      </w:r>
      <w:r w:rsidRPr="00CF6849">
        <w:rPr>
          <w:rFonts w:ascii="Times New Roman" w:eastAsia="Calibri" w:hAnsi="Times New Roman" w:cs="Times New Roman"/>
          <w:sz w:val="24"/>
          <w:szCs w:val="24"/>
        </w:rPr>
        <w:t xml:space="preserve">Diseases were categorized according to the International Classification of Diseases (ICD). The categorization of diseases into communicable and </w:t>
      </w:r>
      <w:r w:rsidR="001B4873">
        <w:rPr>
          <w:rFonts w:ascii="Times New Roman" w:eastAsia="Calibri" w:hAnsi="Times New Roman" w:cs="Times New Roman"/>
          <w:sz w:val="24"/>
          <w:szCs w:val="24"/>
        </w:rPr>
        <w:t>NCD</w:t>
      </w:r>
      <w:r w:rsidRPr="00CF6849">
        <w:rPr>
          <w:rFonts w:ascii="Times New Roman" w:eastAsia="Calibri" w:hAnsi="Times New Roman" w:cs="Times New Roman"/>
          <w:sz w:val="24"/>
          <w:szCs w:val="24"/>
        </w:rPr>
        <w:t xml:space="preserve"> types was based on guidelines from the Centers for Disease Control and Prevention (CDC) and the World Health Organization (WHO).</w:t>
      </w:r>
    </w:p>
    <w:p w14:paraId="387CD5A9" w14:textId="77777777" w:rsidR="00E05357" w:rsidRPr="00406E02" w:rsidRDefault="00E05357" w:rsidP="00E05357">
      <w:pPr>
        <w:spacing w:line="240" w:lineRule="auto"/>
        <w:rPr>
          <w:rFonts w:ascii="Times New Roman" w:eastAsia="Calibri" w:hAnsi="Times New Roman" w:cs="Times New Roman"/>
          <w:sz w:val="24"/>
          <w:szCs w:val="24"/>
          <w:highlight w:val="yellow"/>
        </w:rPr>
      </w:pPr>
    </w:p>
    <w:p w14:paraId="281D93B5" w14:textId="77777777" w:rsidR="00E05357" w:rsidRPr="00406E02" w:rsidRDefault="00E05357" w:rsidP="00E05357">
      <w:pPr>
        <w:spacing w:line="240" w:lineRule="auto"/>
        <w:rPr>
          <w:rFonts w:ascii="Times New Roman" w:eastAsia="Calibri" w:hAnsi="Times New Roman" w:cs="Times New Roman"/>
          <w:b/>
          <w:bCs/>
          <w:sz w:val="24"/>
          <w:szCs w:val="24"/>
        </w:rPr>
      </w:pPr>
      <w:bookmarkStart w:id="9" w:name="_Toc517104403"/>
      <w:bookmarkStart w:id="10" w:name="_Toc45394922"/>
      <w:bookmarkStart w:id="11" w:name="_Toc17057564"/>
      <w:r w:rsidRPr="00406E02">
        <w:rPr>
          <w:rFonts w:ascii="Times New Roman" w:eastAsia="Calibri" w:hAnsi="Times New Roman" w:cs="Times New Roman"/>
          <w:b/>
          <w:bCs/>
          <w:sz w:val="24"/>
          <w:szCs w:val="24"/>
          <w:lang w:val="x-none"/>
        </w:rPr>
        <w:t>Data Quality Control</w:t>
      </w:r>
      <w:bookmarkEnd w:id="9"/>
      <w:bookmarkEnd w:id="10"/>
    </w:p>
    <w:p w14:paraId="11B83C08" w14:textId="77777777" w:rsidR="00E05357" w:rsidRPr="00406E02" w:rsidRDefault="00E05357" w:rsidP="00E05357">
      <w:pPr>
        <w:spacing w:line="240" w:lineRule="auto"/>
        <w:rPr>
          <w:rFonts w:ascii="Times New Roman" w:eastAsia="Calibri" w:hAnsi="Times New Roman" w:cs="Times New Roman"/>
          <w:b/>
          <w:bCs/>
          <w:sz w:val="24"/>
          <w:szCs w:val="24"/>
        </w:rPr>
      </w:pPr>
    </w:p>
    <w:p w14:paraId="3216C193" w14:textId="0697BD8E" w:rsidR="00E05357" w:rsidRDefault="00CF6849" w:rsidP="00CF6849">
      <w:pPr>
        <w:spacing w:line="240" w:lineRule="auto"/>
        <w:rPr>
          <w:rFonts w:ascii="Times New Roman" w:eastAsia="Calibri" w:hAnsi="Times New Roman" w:cs="Times New Roman"/>
          <w:sz w:val="24"/>
          <w:szCs w:val="24"/>
        </w:rPr>
      </w:pPr>
      <w:r w:rsidRPr="00CF6849">
        <w:rPr>
          <w:rFonts w:ascii="Times New Roman" w:eastAsia="Calibri" w:hAnsi="Times New Roman" w:cs="Times New Roman"/>
          <w:sz w:val="24"/>
          <w:szCs w:val="24"/>
        </w:rPr>
        <w:t>The checklist was refined, and the abstraction procedures became standardized with the help of a pilot test on 5 % records.</w:t>
      </w:r>
      <w:r w:rsidRPr="00CF6849">
        <w:t xml:space="preserve"> </w:t>
      </w:r>
      <w:r w:rsidRPr="00CF6849">
        <w:rPr>
          <w:rFonts w:ascii="Times New Roman" w:eastAsia="Calibri" w:hAnsi="Times New Roman" w:cs="Times New Roman"/>
          <w:sz w:val="24"/>
          <w:szCs w:val="24"/>
        </w:rPr>
        <w:t>A comprehensive review of the medical records of all patients admitted to the ward was conducted during the study period. Two MSc nurses, trained in data collection techniques, collected the data.</w:t>
      </w:r>
      <w:r w:rsidR="000B2661">
        <w:rPr>
          <w:rFonts w:ascii="Times New Roman" w:eastAsia="Calibri" w:hAnsi="Times New Roman" w:cs="Times New Roman"/>
          <w:sz w:val="24"/>
          <w:szCs w:val="24"/>
        </w:rPr>
        <w:t xml:space="preserve"> </w:t>
      </w:r>
      <w:r w:rsidRPr="00CF6849">
        <w:rPr>
          <w:rFonts w:ascii="Times New Roman" w:eastAsia="Calibri" w:hAnsi="Times New Roman" w:cs="Times New Roman"/>
          <w:sz w:val="24"/>
          <w:szCs w:val="24"/>
        </w:rPr>
        <w:t>The validity of the collected data was confirmed by two experts in public health</w:t>
      </w:r>
      <w:r>
        <w:rPr>
          <w:rFonts w:ascii="Times New Roman" w:eastAsia="Calibri" w:hAnsi="Times New Roman" w:cs="Times New Roman"/>
          <w:sz w:val="24"/>
          <w:szCs w:val="24"/>
        </w:rPr>
        <w:t>.</w:t>
      </w:r>
      <w:r w:rsidR="008050D7">
        <w:rPr>
          <w:rFonts w:ascii="Times New Roman" w:eastAsia="Calibri" w:hAnsi="Times New Roman" w:cs="Times New Roman"/>
          <w:sz w:val="24"/>
          <w:szCs w:val="24"/>
        </w:rPr>
        <w:t xml:space="preserve"> </w:t>
      </w:r>
      <w:r w:rsidRPr="00CF6849">
        <w:rPr>
          <w:rFonts w:ascii="Times New Roman" w:eastAsia="Calibri" w:hAnsi="Times New Roman" w:cs="Times New Roman"/>
          <w:sz w:val="24"/>
          <w:szCs w:val="24"/>
        </w:rPr>
        <w:t>To maintain the quality of data, supervisors did daily cross-checks of the data to settle inconsistencies through consensus.</w:t>
      </w:r>
    </w:p>
    <w:p w14:paraId="42FB878A" w14:textId="77777777" w:rsidR="00CF6849" w:rsidRPr="00406E02" w:rsidRDefault="00CF6849" w:rsidP="00E05357">
      <w:pPr>
        <w:spacing w:line="240" w:lineRule="auto"/>
        <w:rPr>
          <w:rFonts w:ascii="Times New Roman" w:eastAsia="Calibri" w:hAnsi="Times New Roman" w:cs="Times New Roman"/>
          <w:sz w:val="24"/>
          <w:szCs w:val="24"/>
        </w:rPr>
      </w:pPr>
    </w:p>
    <w:p w14:paraId="431DC6B9" w14:textId="77777777" w:rsidR="00E05357" w:rsidRPr="00406E02" w:rsidRDefault="00E05357" w:rsidP="00E05357">
      <w:pPr>
        <w:spacing w:line="240" w:lineRule="auto"/>
        <w:rPr>
          <w:rFonts w:ascii="Times New Roman" w:eastAsia="Calibri" w:hAnsi="Times New Roman" w:cs="Times New Roman"/>
          <w:b/>
          <w:bCs/>
          <w:sz w:val="24"/>
          <w:szCs w:val="24"/>
        </w:rPr>
      </w:pPr>
      <w:bookmarkStart w:id="12" w:name="_Toc517104404"/>
      <w:bookmarkStart w:id="13" w:name="_Toc45394923"/>
      <w:r w:rsidRPr="00406E02">
        <w:rPr>
          <w:rFonts w:ascii="Times New Roman" w:eastAsia="Calibri" w:hAnsi="Times New Roman" w:cs="Times New Roman"/>
          <w:b/>
          <w:bCs/>
          <w:sz w:val="24"/>
          <w:szCs w:val="24"/>
        </w:rPr>
        <w:t>Data entry and Analysis</w:t>
      </w:r>
      <w:bookmarkEnd w:id="12"/>
      <w:r w:rsidRPr="00406E02">
        <w:rPr>
          <w:rFonts w:ascii="Times New Roman" w:eastAsia="Calibri" w:hAnsi="Times New Roman" w:cs="Times New Roman"/>
          <w:b/>
          <w:bCs/>
          <w:sz w:val="24"/>
          <w:szCs w:val="24"/>
        </w:rPr>
        <w:t xml:space="preserve"> </w:t>
      </w:r>
      <w:bookmarkEnd w:id="13"/>
    </w:p>
    <w:bookmarkEnd w:id="11"/>
    <w:p w14:paraId="3F6C5CAE" w14:textId="77777777" w:rsidR="00CF6849" w:rsidRDefault="00CF6849" w:rsidP="00CF6849">
      <w:pPr>
        <w:spacing w:line="240" w:lineRule="auto"/>
        <w:rPr>
          <w:rFonts w:ascii="Times New Roman" w:eastAsia="Calibri" w:hAnsi="Times New Roman" w:cs="Times New Roman"/>
          <w:sz w:val="24"/>
          <w:szCs w:val="24"/>
        </w:rPr>
      </w:pPr>
    </w:p>
    <w:p w14:paraId="41FD5F66" w14:textId="76F42612" w:rsidR="00E05357" w:rsidRDefault="00CF6849" w:rsidP="00CF6849">
      <w:pPr>
        <w:spacing w:line="240" w:lineRule="auto"/>
        <w:rPr>
          <w:rFonts w:ascii="Times New Roman" w:eastAsia="Calibri" w:hAnsi="Times New Roman" w:cs="Times New Roman"/>
          <w:sz w:val="24"/>
          <w:szCs w:val="24"/>
        </w:rPr>
      </w:pPr>
      <w:r w:rsidRPr="00CF6849">
        <w:rPr>
          <w:rFonts w:ascii="Times New Roman" w:eastAsia="Calibri" w:hAnsi="Times New Roman" w:cs="Times New Roman"/>
          <w:sz w:val="24"/>
          <w:szCs w:val="24"/>
        </w:rPr>
        <w:t>The data obtained were entered into SPSS software</w:t>
      </w:r>
      <w:r>
        <w:rPr>
          <w:rFonts w:ascii="Times New Roman" w:eastAsia="Calibri" w:hAnsi="Times New Roman" w:cs="Times New Roman"/>
          <w:sz w:val="24"/>
          <w:szCs w:val="24"/>
        </w:rPr>
        <w:t xml:space="preserve"> version 27</w:t>
      </w:r>
      <w:r w:rsidR="000B2661">
        <w:rPr>
          <w:rFonts w:ascii="Times New Roman" w:eastAsia="Calibri" w:hAnsi="Times New Roman" w:cs="Times New Roman"/>
          <w:sz w:val="24"/>
          <w:szCs w:val="24"/>
        </w:rPr>
        <w:t xml:space="preserve"> for </w:t>
      </w:r>
      <w:r w:rsidRPr="00CF6849">
        <w:rPr>
          <w:rFonts w:ascii="Times New Roman" w:eastAsia="Calibri" w:hAnsi="Times New Roman" w:cs="Times New Roman"/>
          <w:sz w:val="24"/>
          <w:szCs w:val="24"/>
        </w:rPr>
        <w:t>statistical analysis</w:t>
      </w:r>
      <w:r w:rsidR="000B2661">
        <w:rPr>
          <w:rFonts w:ascii="Times New Roman" w:eastAsia="Calibri" w:hAnsi="Times New Roman" w:cs="Times New Roman"/>
          <w:sz w:val="24"/>
          <w:szCs w:val="24"/>
        </w:rPr>
        <w:t xml:space="preserve">. </w:t>
      </w:r>
      <w:r w:rsidR="000B2661" w:rsidRPr="000B2661">
        <w:rPr>
          <w:rFonts w:ascii="Times New Roman" w:eastAsia="Calibri" w:hAnsi="Times New Roman" w:cs="Times New Roman"/>
          <w:sz w:val="24"/>
          <w:szCs w:val="24"/>
        </w:rPr>
        <w:t xml:space="preserve">Descriptive statistics, including </w:t>
      </w:r>
      <w:r w:rsidR="000B2661">
        <w:rPr>
          <w:rFonts w:ascii="Times New Roman" w:eastAsia="Calibri" w:hAnsi="Times New Roman" w:cs="Times New Roman"/>
          <w:sz w:val="24"/>
          <w:szCs w:val="24"/>
        </w:rPr>
        <w:t>frequency and percentage</w:t>
      </w:r>
      <w:r w:rsidR="00E63842">
        <w:rPr>
          <w:rFonts w:ascii="Times New Roman" w:eastAsia="Calibri" w:hAnsi="Times New Roman" w:cs="Times New Roman"/>
          <w:sz w:val="24"/>
          <w:szCs w:val="24"/>
        </w:rPr>
        <w:t>,</w:t>
      </w:r>
      <w:r w:rsidR="000B2661">
        <w:rPr>
          <w:rFonts w:ascii="Times New Roman" w:eastAsia="Calibri" w:hAnsi="Times New Roman" w:cs="Times New Roman"/>
          <w:sz w:val="24"/>
          <w:szCs w:val="24"/>
        </w:rPr>
        <w:t xml:space="preserve"> </w:t>
      </w:r>
      <w:r w:rsidR="000B2661" w:rsidRPr="000B2661">
        <w:rPr>
          <w:rFonts w:ascii="Times New Roman" w:eastAsia="Calibri" w:hAnsi="Times New Roman" w:cs="Times New Roman"/>
          <w:sz w:val="24"/>
          <w:szCs w:val="24"/>
        </w:rPr>
        <w:t>were used to describe the characteristics of the study participants.</w:t>
      </w:r>
      <w:r w:rsidR="008050D7">
        <w:rPr>
          <w:rFonts w:ascii="Times New Roman" w:eastAsia="Calibri" w:hAnsi="Times New Roman" w:cs="Times New Roman"/>
          <w:sz w:val="24"/>
          <w:szCs w:val="24"/>
        </w:rPr>
        <w:t xml:space="preserve"> </w:t>
      </w:r>
      <w:r w:rsidRPr="00CF6849">
        <w:rPr>
          <w:rFonts w:ascii="Times New Roman" w:eastAsia="Calibri" w:hAnsi="Times New Roman" w:cs="Times New Roman"/>
          <w:sz w:val="24"/>
          <w:szCs w:val="24"/>
        </w:rPr>
        <w:t xml:space="preserve">Finally, </w:t>
      </w:r>
      <w:r w:rsidR="000B2661">
        <w:rPr>
          <w:rFonts w:ascii="Times New Roman" w:eastAsia="Calibri" w:hAnsi="Times New Roman" w:cs="Times New Roman"/>
          <w:sz w:val="24"/>
          <w:szCs w:val="24"/>
        </w:rPr>
        <w:t>a</w:t>
      </w:r>
      <w:r w:rsidR="000B2661" w:rsidRPr="000B2661">
        <w:rPr>
          <w:rFonts w:ascii="Times New Roman" w:eastAsia="Calibri" w:hAnsi="Times New Roman" w:cs="Times New Roman"/>
          <w:sz w:val="24"/>
          <w:szCs w:val="24"/>
        </w:rPr>
        <w:t xml:space="preserve"> chi-square test </w:t>
      </w:r>
      <w:r w:rsidR="000B2661">
        <w:rPr>
          <w:rFonts w:ascii="Times New Roman" w:eastAsia="Calibri" w:hAnsi="Times New Roman" w:cs="Times New Roman"/>
          <w:sz w:val="24"/>
          <w:szCs w:val="24"/>
        </w:rPr>
        <w:t xml:space="preserve">was done to check the distribution of diseases by gender </w:t>
      </w:r>
      <w:r w:rsidR="000B2661" w:rsidRPr="00CF6849">
        <w:rPr>
          <w:rFonts w:ascii="Times New Roman" w:eastAsia="Calibri" w:hAnsi="Times New Roman" w:cs="Times New Roman"/>
          <w:sz w:val="24"/>
          <w:szCs w:val="24"/>
        </w:rPr>
        <w:t>at</w:t>
      </w:r>
      <w:r w:rsidRPr="00CF6849">
        <w:rPr>
          <w:rFonts w:ascii="Times New Roman" w:eastAsia="Calibri" w:hAnsi="Times New Roman" w:cs="Times New Roman"/>
          <w:sz w:val="24"/>
          <w:szCs w:val="24"/>
        </w:rPr>
        <w:t xml:space="preserve"> a significance level of 0.05</w:t>
      </w:r>
      <w:r>
        <w:rPr>
          <w:rFonts w:ascii="Times New Roman" w:eastAsia="Calibri" w:hAnsi="Times New Roman" w:cs="Times New Roman"/>
          <w:sz w:val="24"/>
          <w:szCs w:val="24"/>
        </w:rPr>
        <w:t xml:space="preserve">. The results </w:t>
      </w:r>
      <w:r w:rsidR="00E63842">
        <w:rPr>
          <w:rFonts w:ascii="Times New Roman" w:eastAsia="Calibri" w:hAnsi="Times New Roman" w:cs="Times New Roman"/>
          <w:sz w:val="24"/>
          <w:szCs w:val="24"/>
        </w:rPr>
        <w:t xml:space="preserve">are </w:t>
      </w:r>
      <w:r>
        <w:rPr>
          <w:rFonts w:ascii="Times New Roman" w:eastAsia="Calibri" w:hAnsi="Times New Roman" w:cs="Times New Roman"/>
          <w:sz w:val="24"/>
          <w:szCs w:val="24"/>
        </w:rPr>
        <w:t xml:space="preserve">presented in </w:t>
      </w:r>
      <w:r w:rsidR="000B2661">
        <w:rPr>
          <w:rFonts w:ascii="Times New Roman" w:eastAsia="Calibri" w:hAnsi="Times New Roman" w:cs="Times New Roman"/>
          <w:sz w:val="24"/>
          <w:szCs w:val="24"/>
        </w:rPr>
        <w:t>text, tables</w:t>
      </w:r>
      <w:r w:rsidR="00E6384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graphs.</w:t>
      </w:r>
    </w:p>
    <w:p w14:paraId="0D79EB19" w14:textId="77777777" w:rsidR="00CF6849" w:rsidRPr="00406E02" w:rsidRDefault="00CF6849" w:rsidP="00CF6849">
      <w:pPr>
        <w:spacing w:line="240" w:lineRule="auto"/>
        <w:rPr>
          <w:rFonts w:ascii="Times New Roman" w:hAnsi="Times New Roman" w:cs="Times New Roman"/>
          <w:b/>
          <w:sz w:val="24"/>
          <w:szCs w:val="24"/>
        </w:rPr>
      </w:pPr>
    </w:p>
    <w:p w14:paraId="3041B6AE" w14:textId="77777777" w:rsidR="003C49D8" w:rsidRPr="00965698" w:rsidRDefault="003C49D8" w:rsidP="003C49D8">
      <w:pPr>
        <w:spacing w:after="100" w:afterAutospacing="1" w:line="240" w:lineRule="auto"/>
        <w:rPr>
          <w:rFonts w:ascii="Segoe UI" w:hAnsi="Segoe UI" w:cs="Segoe UI"/>
          <w:b/>
          <w:color w:val="000099"/>
          <w:sz w:val="32"/>
          <w:szCs w:val="24"/>
        </w:rPr>
      </w:pPr>
      <w:r w:rsidRPr="00965698">
        <w:rPr>
          <w:rFonts w:ascii="Segoe UI" w:hAnsi="Segoe UI" w:cs="Segoe UI"/>
          <w:b/>
          <w:color w:val="000099"/>
          <w:sz w:val="32"/>
          <w:szCs w:val="24"/>
        </w:rPr>
        <w:t>Results</w:t>
      </w:r>
    </w:p>
    <w:p w14:paraId="0DC1FF6C" w14:textId="77777777" w:rsidR="00872087" w:rsidRDefault="00872087" w:rsidP="00E05357">
      <w:pPr>
        <w:spacing w:before="120" w:after="120" w:line="240" w:lineRule="auto"/>
        <w:rPr>
          <w:rStyle w:val="Strong"/>
          <w:rFonts w:asciiTheme="majorHAnsi" w:eastAsiaTheme="majorEastAsia" w:hAnsiTheme="majorHAnsi" w:cstheme="majorBidi"/>
          <w:bCs w:val="0"/>
          <w:iCs/>
          <w:color w:val="000000" w:themeColor="text1"/>
          <w:sz w:val="24"/>
          <w:szCs w:val="24"/>
          <w:lang w:val="en-GB" w:eastAsia="en-GB"/>
        </w:rPr>
      </w:pPr>
      <w:r w:rsidRPr="00872087">
        <w:rPr>
          <w:rStyle w:val="Strong"/>
          <w:rFonts w:asciiTheme="majorHAnsi" w:eastAsiaTheme="majorEastAsia" w:hAnsiTheme="majorHAnsi" w:cstheme="majorBidi"/>
          <w:bCs w:val="0"/>
          <w:iCs/>
          <w:color w:val="000000" w:themeColor="text1"/>
          <w:sz w:val="24"/>
          <w:szCs w:val="24"/>
          <w:lang w:val="en-GB" w:eastAsia="en-GB"/>
        </w:rPr>
        <w:t xml:space="preserve">Sociodemographic Characteristics </w:t>
      </w:r>
    </w:p>
    <w:p w14:paraId="52018D55" w14:textId="4291AF4E" w:rsidR="00B46107" w:rsidRDefault="00872087" w:rsidP="008050D7">
      <w:pPr>
        <w:pStyle w:val="NormalWeb"/>
        <w:spacing w:before="0" w:beforeAutospacing="0" w:after="0" w:afterAutospacing="0"/>
        <w:jc w:val="both"/>
        <w:rPr>
          <w:rFonts w:eastAsiaTheme="minorHAnsi"/>
        </w:rPr>
      </w:pPr>
      <w:r w:rsidRPr="00872087">
        <w:rPr>
          <w:rFonts w:eastAsiaTheme="minorHAnsi"/>
        </w:rPr>
        <w:t>The sample size consisted of 1118 patients, who were admitted to the medical ward. The distribution of genders was almost fifty-fifty, with the males being 49.7% (n=556) and females being 50.3% (n=562).</w:t>
      </w:r>
      <w:r>
        <w:rPr>
          <w:rFonts w:eastAsiaTheme="minorHAnsi"/>
        </w:rPr>
        <w:t xml:space="preserve"> </w:t>
      </w:r>
      <w:r w:rsidRPr="00872087">
        <w:rPr>
          <w:rFonts w:eastAsiaTheme="minorHAnsi"/>
        </w:rPr>
        <w:t>The age of the patients ranged from 15 to 91. The mean age of the patients was 36 years (SD + 15.74). Age was predominated by middle-aged patients as patients within 36 years and up to 45 years counted 21.9% (n=245), 26 years to 35 years 17.4% (n=194), and 46 years to 55 years 17.5% (n=196). There were also younger and older adults; 15.4% (n=173) of the adults were younger (15-25 years), whereas older adults (&gt;75 years) comprised 4.4% (n=49). Most of the participants were 75.8% (847) in urban areas, and 24.2% (n=271) were in rural settings.</w:t>
      </w:r>
    </w:p>
    <w:p w14:paraId="50A7940C" w14:textId="77777777" w:rsidR="00846575" w:rsidRDefault="00846575" w:rsidP="008050D7">
      <w:pPr>
        <w:pStyle w:val="NormalWeb"/>
        <w:spacing w:before="0" w:beforeAutospacing="0" w:after="0" w:afterAutospacing="0"/>
        <w:jc w:val="both"/>
        <w:rPr>
          <w:rFonts w:eastAsiaTheme="minorHAnsi"/>
        </w:rPr>
      </w:pPr>
    </w:p>
    <w:p w14:paraId="34BC81CA" w14:textId="1188B01D" w:rsidR="00872087" w:rsidRDefault="00872087" w:rsidP="008050D7">
      <w:pPr>
        <w:pStyle w:val="NormalWeb"/>
        <w:spacing w:before="0" w:beforeAutospacing="0" w:after="0" w:afterAutospacing="0"/>
        <w:jc w:val="both"/>
        <w:rPr>
          <w:rFonts w:eastAsiaTheme="minorHAnsi"/>
        </w:rPr>
      </w:pPr>
      <w:r w:rsidRPr="00872087">
        <w:rPr>
          <w:rFonts w:eastAsiaTheme="minorHAnsi"/>
        </w:rPr>
        <w:t>In total, one can observe an almost equal number of men and women included in the patient population, and most of them are in the middle-aged group. Smaller is the representation of the younger adults, with few older adults. The majority of the urban dwellers would mean that the study population tends to sing more to people who have access to the urban healthcare facilities (Table 1).</w:t>
      </w:r>
    </w:p>
    <w:p w14:paraId="5DCFA615" w14:textId="77777777" w:rsidR="00B46107" w:rsidRDefault="00B46107" w:rsidP="008050D7">
      <w:pPr>
        <w:pStyle w:val="NormalWeb"/>
        <w:spacing w:before="0" w:beforeAutospacing="0" w:after="0" w:afterAutospacing="0"/>
        <w:jc w:val="both"/>
        <w:rPr>
          <w:rFonts w:eastAsiaTheme="minorHAnsi"/>
        </w:rPr>
      </w:pPr>
    </w:p>
    <w:p w14:paraId="7BB50FC1" w14:textId="48143CBC" w:rsidR="00B46107" w:rsidRDefault="00B46107" w:rsidP="008050D7">
      <w:pPr>
        <w:pStyle w:val="NormalWeb"/>
        <w:spacing w:before="0" w:beforeAutospacing="0" w:after="0" w:afterAutospacing="0"/>
        <w:jc w:val="both"/>
      </w:pPr>
      <w:r w:rsidRPr="00872087">
        <w:t xml:space="preserve">Table 1: Sociodemographic profile of adult medical ward patients at </w:t>
      </w:r>
      <w:r>
        <w:t>HUCSH</w:t>
      </w:r>
      <w:r w:rsidRPr="00872087">
        <w:t>, 2024 (N = 1118)</w:t>
      </w:r>
    </w:p>
    <w:tbl>
      <w:tblPr>
        <w:tblStyle w:val="TableGrid1"/>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2081"/>
      </w:tblGrid>
      <w:tr w:rsidR="00B46107" w:rsidRPr="00872087" w14:paraId="40F69065" w14:textId="77777777" w:rsidTr="00232014">
        <w:trPr>
          <w:trHeight w:val="361"/>
          <w:jc w:val="center"/>
        </w:trPr>
        <w:tc>
          <w:tcPr>
            <w:tcW w:w="2906" w:type="pct"/>
            <w:tcBorders>
              <w:bottom w:val="single" w:sz="4" w:space="0" w:color="auto"/>
            </w:tcBorders>
            <w:vAlign w:val="bottom"/>
            <w:hideMark/>
          </w:tcPr>
          <w:p w14:paraId="6D9B60C9" w14:textId="77777777" w:rsidR="00B46107" w:rsidRPr="00872087" w:rsidRDefault="00B46107" w:rsidP="00232014">
            <w:pPr>
              <w:rPr>
                <w:rFonts w:ascii="Times New Roman" w:eastAsia="Calibri" w:hAnsi="Times New Roman" w:cs="Times New Roman"/>
                <w:b/>
                <w:bCs/>
                <w:color w:val="000000"/>
              </w:rPr>
            </w:pPr>
            <w:r w:rsidRPr="00872087">
              <w:rPr>
                <w:rFonts w:ascii="Times New Roman" w:eastAsia="Calibri" w:hAnsi="Times New Roman" w:cs="Times New Roman"/>
                <w:b/>
                <w:color w:val="000000"/>
              </w:rPr>
              <w:t>Characteristic</w:t>
            </w:r>
          </w:p>
        </w:tc>
        <w:tc>
          <w:tcPr>
            <w:tcW w:w="2094" w:type="pct"/>
            <w:tcBorders>
              <w:bottom w:val="single" w:sz="4" w:space="0" w:color="auto"/>
            </w:tcBorders>
            <w:vAlign w:val="bottom"/>
            <w:hideMark/>
          </w:tcPr>
          <w:p w14:paraId="7CDCE2D2" w14:textId="77777777" w:rsidR="00B46107" w:rsidRPr="00872087" w:rsidRDefault="00B46107" w:rsidP="00232014">
            <w:pPr>
              <w:jc w:val="center"/>
              <w:rPr>
                <w:rFonts w:ascii="Times New Roman" w:eastAsia="Calibri" w:hAnsi="Times New Roman" w:cs="Times New Roman"/>
                <w:b/>
                <w:bCs/>
                <w:color w:val="000000"/>
              </w:rPr>
            </w:pPr>
            <w:r w:rsidRPr="00872087">
              <w:rPr>
                <w:rFonts w:ascii="Times New Roman" w:eastAsia="Calibri" w:hAnsi="Times New Roman" w:cs="Times New Roman"/>
                <w:b/>
                <w:color w:val="000000"/>
              </w:rPr>
              <w:t>N (%)</w:t>
            </w:r>
          </w:p>
        </w:tc>
      </w:tr>
      <w:tr w:rsidR="00B46107" w:rsidRPr="00872087" w14:paraId="75382C45" w14:textId="77777777" w:rsidTr="00232014">
        <w:trPr>
          <w:trHeight w:val="215"/>
          <w:jc w:val="center"/>
        </w:trPr>
        <w:tc>
          <w:tcPr>
            <w:tcW w:w="2906" w:type="pct"/>
            <w:tcBorders>
              <w:top w:val="single" w:sz="4" w:space="0" w:color="auto"/>
              <w:bottom w:val="nil"/>
            </w:tcBorders>
            <w:vAlign w:val="bottom"/>
            <w:hideMark/>
          </w:tcPr>
          <w:p w14:paraId="4E0E4124" w14:textId="77777777" w:rsidR="00B46107" w:rsidRPr="00872087" w:rsidRDefault="00B46107" w:rsidP="00232014">
            <w:pPr>
              <w:rPr>
                <w:rFonts w:ascii="Times New Roman" w:eastAsia="Calibri" w:hAnsi="Times New Roman" w:cs="Times New Roman"/>
                <w:b/>
                <w:color w:val="000000"/>
              </w:rPr>
            </w:pPr>
            <w:r w:rsidRPr="00872087">
              <w:rPr>
                <w:rFonts w:ascii="Times New Roman" w:eastAsia="Calibri" w:hAnsi="Times New Roman" w:cs="Times New Roman"/>
                <w:b/>
                <w:color w:val="000000"/>
              </w:rPr>
              <w:t>Gender</w:t>
            </w:r>
          </w:p>
        </w:tc>
        <w:tc>
          <w:tcPr>
            <w:tcW w:w="2094" w:type="pct"/>
            <w:tcBorders>
              <w:top w:val="single" w:sz="4" w:space="0" w:color="auto"/>
              <w:bottom w:val="nil"/>
            </w:tcBorders>
            <w:vAlign w:val="bottom"/>
            <w:hideMark/>
          </w:tcPr>
          <w:p w14:paraId="13E5E2BD" w14:textId="77777777" w:rsidR="00B46107" w:rsidRPr="00872087" w:rsidRDefault="00B46107" w:rsidP="00232014">
            <w:pPr>
              <w:jc w:val="center"/>
              <w:rPr>
                <w:rFonts w:ascii="Times New Roman" w:eastAsia="Calibri" w:hAnsi="Times New Roman" w:cs="Times New Roman"/>
                <w:color w:val="000000"/>
              </w:rPr>
            </w:pPr>
          </w:p>
        </w:tc>
      </w:tr>
      <w:tr w:rsidR="00B46107" w:rsidRPr="00872087" w14:paraId="3084F522" w14:textId="77777777" w:rsidTr="00232014">
        <w:trPr>
          <w:trHeight w:val="349"/>
          <w:jc w:val="center"/>
        </w:trPr>
        <w:tc>
          <w:tcPr>
            <w:tcW w:w="2906" w:type="pct"/>
            <w:tcBorders>
              <w:top w:val="nil"/>
            </w:tcBorders>
            <w:vAlign w:val="bottom"/>
            <w:hideMark/>
          </w:tcPr>
          <w:p w14:paraId="07075B71"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Male</w:t>
            </w:r>
          </w:p>
        </w:tc>
        <w:tc>
          <w:tcPr>
            <w:tcW w:w="2094" w:type="pct"/>
            <w:tcBorders>
              <w:top w:val="nil"/>
            </w:tcBorders>
            <w:vAlign w:val="bottom"/>
          </w:tcPr>
          <w:p w14:paraId="404BA1A4"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556 (49.7%)</w:t>
            </w:r>
          </w:p>
        </w:tc>
      </w:tr>
      <w:tr w:rsidR="00B46107" w:rsidRPr="00872087" w14:paraId="31BB34B0" w14:textId="77777777" w:rsidTr="00232014">
        <w:trPr>
          <w:trHeight w:val="361"/>
          <w:jc w:val="center"/>
        </w:trPr>
        <w:tc>
          <w:tcPr>
            <w:tcW w:w="2906" w:type="pct"/>
            <w:vAlign w:val="bottom"/>
            <w:hideMark/>
          </w:tcPr>
          <w:p w14:paraId="77BCEA0C"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Female</w:t>
            </w:r>
          </w:p>
        </w:tc>
        <w:tc>
          <w:tcPr>
            <w:tcW w:w="2094" w:type="pct"/>
            <w:vAlign w:val="bottom"/>
          </w:tcPr>
          <w:p w14:paraId="256BC041"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562 (50.3%)</w:t>
            </w:r>
          </w:p>
        </w:tc>
      </w:tr>
      <w:tr w:rsidR="00B46107" w:rsidRPr="00872087" w14:paraId="357332DC" w14:textId="77777777" w:rsidTr="00232014">
        <w:trPr>
          <w:trHeight w:val="361"/>
          <w:jc w:val="center"/>
        </w:trPr>
        <w:tc>
          <w:tcPr>
            <w:tcW w:w="2906" w:type="pct"/>
            <w:vAlign w:val="bottom"/>
            <w:hideMark/>
          </w:tcPr>
          <w:p w14:paraId="75E10AD1"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b/>
                <w:color w:val="000000"/>
              </w:rPr>
              <w:t>Age group (years)</w:t>
            </w:r>
          </w:p>
        </w:tc>
        <w:tc>
          <w:tcPr>
            <w:tcW w:w="2094" w:type="pct"/>
            <w:vAlign w:val="bottom"/>
          </w:tcPr>
          <w:p w14:paraId="5568EDAF" w14:textId="77777777" w:rsidR="00B46107" w:rsidRPr="00872087" w:rsidRDefault="00B46107" w:rsidP="004B6650">
            <w:pPr>
              <w:jc w:val="center"/>
              <w:rPr>
                <w:rFonts w:ascii="Times New Roman" w:eastAsia="Calibri" w:hAnsi="Times New Roman" w:cs="Times New Roman"/>
                <w:color w:val="000000"/>
              </w:rPr>
            </w:pPr>
          </w:p>
        </w:tc>
      </w:tr>
      <w:tr w:rsidR="00B46107" w:rsidRPr="00872087" w14:paraId="0B20DB1D" w14:textId="77777777" w:rsidTr="00232014">
        <w:trPr>
          <w:trHeight w:val="361"/>
          <w:jc w:val="center"/>
        </w:trPr>
        <w:tc>
          <w:tcPr>
            <w:tcW w:w="2906" w:type="pct"/>
            <w:vAlign w:val="bottom"/>
            <w:hideMark/>
          </w:tcPr>
          <w:p w14:paraId="1F72E50F"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15–25</w:t>
            </w:r>
          </w:p>
        </w:tc>
        <w:tc>
          <w:tcPr>
            <w:tcW w:w="2094" w:type="pct"/>
            <w:vAlign w:val="bottom"/>
          </w:tcPr>
          <w:p w14:paraId="15CA40B3"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172 (15.4%)</w:t>
            </w:r>
          </w:p>
        </w:tc>
      </w:tr>
      <w:tr w:rsidR="00B46107" w:rsidRPr="00872087" w14:paraId="5C330BE1" w14:textId="77777777" w:rsidTr="00232014">
        <w:trPr>
          <w:trHeight w:val="361"/>
          <w:jc w:val="center"/>
        </w:trPr>
        <w:tc>
          <w:tcPr>
            <w:tcW w:w="2906" w:type="pct"/>
            <w:vAlign w:val="bottom"/>
            <w:hideMark/>
          </w:tcPr>
          <w:p w14:paraId="068290F9"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26–35</w:t>
            </w:r>
          </w:p>
        </w:tc>
        <w:tc>
          <w:tcPr>
            <w:tcW w:w="2094" w:type="pct"/>
            <w:vAlign w:val="bottom"/>
          </w:tcPr>
          <w:p w14:paraId="5A006517"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194 (17.4%)</w:t>
            </w:r>
          </w:p>
        </w:tc>
      </w:tr>
      <w:tr w:rsidR="00B46107" w:rsidRPr="00872087" w14:paraId="079EA553" w14:textId="77777777" w:rsidTr="00232014">
        <w:trPr>
          <w:trHeight w:val="349"/>
          <w:jc w:val="center"/>
        </w:trPr>
        <w:tc>
          <w:tcPr>
            <w:tcW w:w="2906" w:type="pct"/>
            <w:vAlign w:val="bottom"/>
            <w:hideMark/>
          </w:tcPr>
          <w:p w14:paraId="2D5B9F7D"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36–45</w:t>
            </w:r>
          </w:p>
        </w:tc>
        <w:tc>
          <w:tcPr>
            <w:tcW w:w="2094" w:type="pct"/>
            <w:vAlign w:val="bottom"/>
          </w:tcPr>
          <w:p w14:paraId="2F0255B4"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245 (21.9%)</w:t>
            </w:r>
          </w:p>
        </w:tc>
      </w:tr>
      <w:tr w:rsidR="00B46107" w:rsidRPr="00872087" w14:paraId="3963808D" w14:textId="77777777" w:rsidTr="00232014">
        <w:trPr>
          <w:trHeight w:val="361"/>
          <w:jc w:val="center"/>
        </w:trPr>
        <w:tc>
          <w:tcPr>
            <w:tcW w:w="2906" w:type="pct"/>
            <w:vAlign w:val="bottom"/>
            <w:hideMark/>
          </w:tcPr>
          <w:p w14:paraId="6C3906D7"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46–55</w:t>
            </w:r>
          </w:p>
        </w:tc>
        <w:tc>
          <w:tcPr>
            <w:tcW w:w="2094" w:type="pct"/>
            <w:vAlign w:val="bottom"/>
          </w:tcPr>
          <w:p w14:paraId="62C84DF4"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196 (17.5%)</w:t>
            </w:r>
          </w:p>
        </w:tc>
      </w:tr>
      <w:tr w:rsidR="00B46107" w:rsidRPr="00872087" w14:paraId="5CE0D3AD" w14:textId="77777777" w:rsidTr="00232014">
        <w:trPr>
          <w:trHeight w:val="361"/>
          <w:jc w:val="center"/>
        </w:trPr>
        <w:tc>
          <w:tcPr>
            <w:tcW w:w="2906" w:type="pct"/>
            <w:vAlign w:val="bottom"/>
            <w:hideMark/>
          </w:tcPr>
          <w:p w14:paraId="3947852D"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56–65</w:t>
            </w:r>
          </w:p>
        </w:tc>
        <w:tc>
          <w:tcPr>
            <w:tcW w:w="2094" w:type="pct"/>
            <w:vAlign w:val="bottom"/>
          </w:tcPr>
          <w:p w14:paraId="07CCF507"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158 (14.1%)</w:t>
            </w:r>
          </w:p>
        </w:tc>
      </w:tr>
      <w:tr w:rsidR="00B46107" w:rsidRPr="00872087" w14:paraId="45B5EB30" w14:textId="77777777" w:rsidTr="00232014">
        <w:trPr>
          <w:trHeight w:val="361"/>
          <w:jc w:val="center"/>
        </w:trPr>
        <w:tc>
          <w:tcPr>
            <w:tcW w:w="2906" w:type="pct"/>
            <w:vAlign w:val="bottom"/>
            <w:hideMark/>
          </w:tcPr>
          <w:p w14:paraId="38256E49"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66–75</w:t>
            </w:r>
          </w:p>
        </w:tc>
        <w:tc>
          <w:tcPr>
            <w:tcW w:w="2094" w:type="pct"/>
            <w:vAlign w:val="bottom"/>
          </w:tcPr>
          <w:p w14:paraId="0F04C994"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104 (9.3%)</w:t>
            </w:r>
          </w:p>
        </w:tc>
      </w:tr>
      <w:tr w:rsidR="00B46107" w:rsidRPr="00872087" w14:paraId="5561D845" w14:textId="77777777" w:rsidTr="00232014">
        <w:trPr>
          <w:trHeight w:val="349"/>
          <w:jc w:val="center"/>
        </w:trPr>
        <w:tc>
          <w:tcPr>
            <w:tcW w:w="2906" w:type="pct"/>
            <w:vAlign w:val="bottom"/>
            <w:hideMark/>
          </w:tcPr>
          <w:p w14:paraId="6F0C61A8"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&gt;75</w:t>
            </w:r>
          </w:p>
        </w:tc>
        <w:tc>
          <w:tcPr>
            <w:tcW w:w="2094" w:type="pct"/>
            <w:vAlign w:val="bottom"/>
          </w:tcPr>
          <w:p w14:paraId="490B6656"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49 (4.4%)</w:t>
            </w:r>
          </w:p>
        </w:tc>
      </w:tr>
      <w:tr w:rsidR="00B46107" w:rsidRPr="00872087" w14:paraId="0A84BEB3" w14:textId="77777777" w:rsidTr="00232014">
        <w:trPr>
          <w:trHeight w:val="361"/>
          <w:jc w:val="center"/>
        </w:trPr>
        <w:tc>
          <w:tcPr>
            <w:tcW w:w="2906" w:type="pct"/>
            <w:vAlign w:val="bottom"/>
            <w:hideMark/>
          </w:tcPr>
          <w:p w14:paraId="25B29F8B"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b/>
                <w:color w:val="000000"/>
              </w:rPr>
              <w:t>Residence</w:t>
            </w:r>
          </w:p>
        </w:tc>
        <w:tc>
          <w:tcPr>
            <w:tcW w:w="2094" w:type="pct"/>
            <w:vAlign w:val="bottom"/>
            <w:hideMark/>
          </w:tcPr>
          <w:p w14:paraId="509F4E1E" w14:textId="77777777" w:rsidR="00B46107" w:rsidRPr="00872087" w:rsidRDefault="00B46107" w:rsidP="004B6650">
            <w:pPr>
              <w:jc w:val="center"/>
              <w:rPr>
                <w:rFonts w:ascii="Times New Roman" w:eastAsia="Calibri" w:hAnsi="Times New Roman" w:cs="Times New Roman"/>
                <w:color w:val="000000"/>
              </w:rPr>
            </w:pPr>
          </w:p>
        </w:tc>
      </w:tr>
      <w:tr w:rsidR="00B46107" w:rsidRPr="00872087" w14:paraId="538E087B" w14:textId="77777777" w:rsidTr="00232014">
        <w:trPr>
          <w:trHeight w:val="361"/>
          <w:jc w:val="center"/>
        </w:trPr>
        <w:tc>
          <w:tcPr>
            <w:tcW w:w="2906" w:type="pct"/>
            <w:vAlign w:val="bottom"/>
            <w:hideMark/>
          </w:tcPr>
          <w:p w14:paraId="21949ECA"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Urban</w:t>
            </w:r>
          </w:p>
        </w:tc>
        <w:tc>
          <w:tcPr>
            <w:tcW w:w="2094" w:type="pct"/>
            <w:vAlign w:val="bottom"/>
            <w:hideMark/>
          </w:tcPr>
          <w:p w14:paraId="5D9C62FA"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847 (75.8%)</w:t>
            </w:r>
          </w:p>
        </w:tc>
      </w:tr>
      <w:tr w:rsidR="00B46107" w:rsidRPr="00872087" w14:paraId="4D36899A" w14:textId="77777777" w:rsidTr="00232014">
        <w:trPr>
          <w:trHeight w:val="361"/>
          <w:jc w:val="center"/>
        </w:trPr>
        <w:tc>
          <w:tcPr>
            <w:tcW w:w="2906" w:type="pct"/>
            <w:vAlign w:val="bottom"/>
            <w:hideMark/>
          </w:tcPr>
          <w:p w14:paraId="0AE83399" w14:textId="77777777" w:rsidR="00B46107" w:rsidRPr="00872087" w:rsidRDefault="00B46107" w:rsidP="004B6650">
            <w:pPr>
              <w:rPr>
                <w:rFonts w:ascii="Times New Roman" w:eastAsia="Calibri" w:hAnsi="Times New Roman" w:cs="Times New Roman"/>
                <w:b/>
                <w:color w:val="000000"/>
              </w:rPr>
            </w:pPr>
            <w:r w:rsidRPr="00872087">
              <w:rPr>
                <w:rFonts w:ascii="Times New Roman" w:eastAsia="Calibri" w:hAnsi="Times New Roman" w:cs="Times New Roman"/>
                <w:color w:val="000000"/>
              </w:rPr>
              <w:tab/>
              <w:t>Rural</w:t>
            </w:r>
          </w:p>
        </w:tc>
        <w:tc>
          <w:tcPr>
            <w:tcW w:w="2094" w:type="pct"/>
            <w:vAlign w:val="bottom"/>
            <w:hideMark/>
          </w:tcPr>
          <w:p w14:paraId="0910310E" w14:textId="77777777" w:rsidR="00B46107" w:rsidRPr="00872087" w:rsidRDefault="00B46107" w:rsidP="004B6650">
            <w:pPr>
              <w:jc w:val="center"/>
              <w:rPr>
                <w:rFonts w:ascii="Times New Roman" w:eastAsia="Calibri" w:hAnsi="Times New Roman" w:cs="Times New Roman"/>
                <w:color w:val="000000"/>
              </w:rPr>
            </w:pPr>
            <w:r w:rsidRPr="00872087">
              <w:rPr>
                <w:rFonts w:ascii="Times New Roman" w:eastAsia="Calibri" w:hAnsi="Times New Roman" w:cs="Times New Roman"/>
                <w:color w:val="000000"/>
              </w:rPr>
              <w:t>271 (24.2% )</w:t>
            </w:r>
          </w:p>
        </w:tc>
      </w:tr>
    </w:tbl>
    <w:p w14:paraId="5B3DD182" w14:textId="77777777" w:rsidR="00B46107" w:rsidRDefault="00B46107" w:rsidP="008050D7">
      <w:pPr>
        <w:pStyle w:val="NormalWeb"/>
        <w:spacing w:before="0" w:beforeAutospacing="0" w:after="0" w:afterAutospacing="0"/>
        <w:jc w:val="both"/>
        <w:rPr>
          <w:rFonts w:eastAsiaTheme="minorHAnsi"/>
        </w:rPr>
      </w:pPr>
    </w:p>
    <w:p w14:paraId="3687BFCA" w14:textId="77777777" w:rsidR="000B2661" w:rsidRDefault="000B2661" w:rsidP="000B2661">
      <w:pPr>
        <w:spacing w:line="240" w:lineRule="auto"/>
        <w:rPr>
          <w:rFonts w:ascii="Times New Roman" w:eastAsiaTheme="majorEastAsia" w:hAnsi="Times New Roman" w:cs="Times New Roman"/>
          <w:b/>
          <w:sz w:val="24"/>
          <w:szCs w:val="24"/>
        </w:rPr>
      </w:pPr>
      <w:r w:rsidRPr="00872087">
        <w:rPr>
          <w:rFonts w:ascii="Times New Roman" w:eastAsiaTheme="majorEastAsia" w:hAnsi="Times New Roman" w:cs="Times New Roman"/>
          <w:b/>
          <w:sz w:val="24"/>
          <w:szCs w:val="24"/>
        </w:rPr>
        <w:t>Reasons for Admission by WHO-Disease Category-ICD</w:t>
      </w:r>
    </w:p>
    <w:p w14:paraId="3BEE5DCF" w14:textId="77777777" w:rsidR="00B46107" w:rsidRDefault="00B46107" w:rsidP="000B2661">
      <w:pPr>
        <w:spacing w:line="240" w:lineRule="auto"/>
        <w:rPr>
          <w:rFonts w:ascii="Times New Roman" w:eastAsiaTheme="majorEastAsia" w:hAnsi="Times New Roman" w:cs="Times New Roman"/>
          <w:b/>
          <w:sz w:val="24"/>
          <w:szCs w:val="24"/>
        </w:rPr>
      </w:pPr>
    </w:p>
    <w:p w14:paraId="669C5B0F" w14:textId="77777777" w:rsidR="00846575" w:rsidRDefault="000B2661" w:rsidP="00B46107">
      <w:pPr>
        <w:pStyle w:val="NormalWeb"/>
        <w:spacing w:before="0" w:beforeAutospacing="0" w:after="0" w:afterAutospacing="0"/>
        <w:jc w:val="both"/>
        <w:rPr>
          <w:rFonts w:eastAsiaTheme="majorEastAsia"/>
          <w:bCs/>
        </w:rPr>
        <w:sectPr w:rsidR="00846575" w:rsidSect="00B46107">
          <w:type w:val="continuous"/>
          <w:pgSz w:w="12240" w:h="15840"/>
          <w:pgMar w:top="1440" w:right="720" w:bottom="1440" w:left="1440" w:header="720" w:footer="720" w:gutter="0"/>
          <w:cols w:num="2" w:space="576"/>
          <w:docGrid w:linePitch="360"/>
        </w:sectPr>
      </w:pPr>
      <w:r w:rsidRPr="000B2661">
        <w:rPr>
          <w:rFonts w:eastAsiaTheme="minorHAnsi"/>
        </w:rPr>
        <w:t>Most in this study were admitted because of infectious and parasitic diseases (ICD-A/B), which amounts to 25% (n=280) of cases. The disease of the circulatory system (ICD-I) was the second most frequent category, and it constituted 18.2% (n=204) of admissions</w:t>
      </w:r>
      <w:r>
        <w:rPr>
          <w:rFonts w:eastAsiaTheme="minorHAnsi"/>
        </w:rPr>
        <w:t>.</w:t>
      </w:r>
      <w:r w:rsidR="00B46107">
        <w:rPr>
          <w:rFonts w:eastAsiaTheme="minorHAnsi"/>
        </w:rPr>
        <w:t xml:space="preserve"> </w:t>
      </w:r>
      <w:r w:rsidR="00284A5D" w:rsidRPr="00284A5D">
        <w:rPr>
          <w:rFonts w:eastAsiaTheme="majorEastAsia"/>
          <w:bCs/>
        </w:rPr>
        <w:t>Increased risk of cardiovascular diseases in Ethiopia and other similar environments has been extensively noted, and hypertension and its resultant heart failure are among the most frequent cases that can lead to hospitalisation.</w:t>
      </w:r>
      <w:r>
        <w:rPr>
          <w:rFonts w:eastAsiaTheme="majorEastAsia"/>
          <w:bCs/>
        </w:rPr>
        <w:t xml:space="preserve"> </w:t>
      </w:r>
      <w:r w:rsidR="00284A5D" w:rsidRPr="00284A5D">
        <w:rPr>
          <w:rFonts w:eastAsiaTheme="majorEastAsia"/>
          <w:bCs/>
        </w:rPr>
        <w:t>The proportion of admissions due to genitourinary diseases (ICD-N) was 12.4% (n=139).</w:t>
      </w:r>
      <w:r w:rsidR="00B46107">
        <w:rPr>
          <w:rFonts w:eastAsiaTheme="majorEastAsia"/>
          <w:bCs/>
        </w:rPr>
        <w:t xml:space="preserve">  </w:t>
      </w:r>
      <w:r w:rsidR="00284A5D" w:rsidRPr="00284A5D">
        <w:rPr>
          <w:rFonts w:eastAsiaTheme="majorEastAsia"/>
          <w:bCs/>
        </w:rPr>
        <w:t>Disorders of the nervous system (ICD-G) represented 11.7% of (n=131) the admissions and were disproportionately represented by females (64.9%).</w:t>
      </w:r>
      <w:r w:rsidR="008050D7">
        <w:rPr>
          <w:rFonts w:eastAsiaTheme="majorEastAsia"/>
          <w:bCs/>
        </w:rPr>
        <w:t xml:space="preserve"> </w:t>
      </w:r>
      <w:r w:rsidR="00284A5D" w:rsidRPr="00284A5D">
        <w:rPr>
          <w:rFonts w:eastAsiaTheme="majorEastAsia"/>
          <w:bCs/>
        </w:rPr>
        <w:t xml:space="preserve">The male </w:t>
      </w:r>
    </w:p>
    <w:p w14:paraId="31A7752B" w14:textId="1BEFDE92" w:rsidR="00A5172B" w:rsidRDefault="00284A5D" w:rsidP="00B46107">
      <w:pPr>
        <w:pStyle w:val="NormalWeb"/>
        <w:spacing w:before="0" w:beforeAutospacing="0" w:after="0" w:afterAutospacing="0"/>
        <w:jc w:val="both"/>
        <w:rPr>
          <w:rFonts w:eastAsiaTheme="majorEastAsia"/>
          <w:bCs/>
        </w:rPr>
      </w:pPr>
      <w:r w:rsidRPr="00284A5D">
        <w:rPr>
          <w:rFonts w:eastAsiaTheme="majorEastAsia"/>
          <w:bCs/>
        </w:rPr>
        <w:t>gender prevailed in diseases of the endocrine, nutritional, and metabolic system (ICD-E, 62.7%).</w:t>
      </w:r>
      <w:r w:rsidR="00846575">
        <w:rPr>
          <w:rFonts w:eastAsiaTheme="majorEastAsia"/>
          <w:bCs/>
        </w:rPr>
        <w:t xml:space="preserve"> </w:t>
      </w:r>
      <w:r w:rsidRPr="00284A5D">
        <w:rPr>
          <w:rFonts w:eastAsiaTheme="majorEastAsia"/>
          <w:bCs/>
        </w:rPr>
        <w:t>Non-gastrointestinal</w:t>
      </w:r>
      <w:r w:rsidR="00846575">
        <w:rPr>
          <w:rFonts w:eastAsiaTheme="majorEastAsia"/>
          <w:bCs/>
        </w:rPr>
        <w:t xml:space="preserve"> </w:t>
      </w:r>
      <w:r w:rsidRPr="00284A5D">
        <w:rPr>
          <w:rFonts w:eastAsiaTheme="majorEastAsia"/>
          <w:bCs/>
        </w:rPr>
        <w:t xml:space="preserve">malignant neoplasms (ICD-C) accounted for 3.8 % (n=43) of admissions, with low gender </w:t>
      </w:r>
      <w:r w:rsidR="00846575" w:rsidRPr="00284A5D">
        <w:rPr>
          <w:rFonts w:eastAsiaTheme="majorEastAsia"/>
          <w:bCs/>
        </w:rPr>
        <w:t>differences</w:t>
      </w:r>
      <w:r w:rsidR="00846575">
        <w:rPr>
          <w:rFonts w:eastAsiaTheme="majorEastAsia"/>
          <w:bCs/>
        </w:rPr>
        <w:t xml:space="preserve"> (Table 2)</w:t>
      </w:r>
      <w:r w:rsidRPr="00284A5D">
        <w:rPr>
          <w:rFonts w:eastAsiaTheme="majorEastAsia"/>
          <w:bCs/>
        </w:rPr>
        <w:t>.</w:t>
      </w:r>
    </w:p>
    <w:p w14:paraId="7F153C5A" w14:textId="77777777" w:rsidR="00B46107" w:rsidRDefault="00B46107" w:rsidP="00284A5D">
      <w:pPr>
        <w:spacing w:line="240" w:lineRule="auto"/>
        <w:rPr>
          <w:rFonts w:ascii="Times New Roman" w:eastAsiaTheme="majorEastAsia" w:hAnsi="Times New Roman" w:cs="Times New Roman"/>
          <w:bCs/>
          <w:sz w:val="24"/>
          <w:szCs w:val="24"/>
        </w:rPr>
        <w:sectPr w:rsidR="00B46107" w:rsidSect="00846575">
          <w:type w:val="continuous"/>
          <w:pgSz w:w="12240" w:h="15840"/>
          <w:pgMar w:top="1440" w:right="720" w:bottom="1440" w:left="1440" w:header="720" w:footer="720" w:gutter="0"/>
          <w:cols w:num="2" w:space="576"/>
          <w:docGrid w:linePitch="360"/>
        </w:sectPr>
      </w:pPr>
    </w:p>
    <w:p w14:paraId="0BC21CF1" w14:textId="77777777" w:rsidR="00B46107" w:rsidRDefault="00B46107" w:rsidP="00284A5D">
      <w:pPr>
        <w:spacing w:line="240" w:lineRule="auto"/>
        <w:rPr>
          <w:rFonts w:ascii="Times New Roman" w:eastAsiaTheme="majorEastAsia" w:hAnsi="Times New Roman" w:cs="Times New Roman"/>
          <w:bCs/>
          <w:sz w:val="24"/>
          <w:szCs w:val="24"/>
        </w:rPr>
      </w:pPr>
    </w:p>
    <w:p w14:paraId="16C6B3E8" w14:textId="77777777" w:rsidR="00872087" w:rsidRPr="00872087" w:rsidRDefault="00872087" w:rsidP="00872087">
      <w:pPr>
        <w:spacing w:line="240" w:lineRule="auto"/>
        <w:rPr>
          <w:bCs/>
          <w:lang w:eastAsia="x-none"/>
        </w:rPr>
      </w:pPr>
    </w:p>
    <w:p w14:paraId="5B1A39F9" w14:textId="77777777" w:rsidR="00284A5D" w:rsidRDefault="00284A5D" w:rsidP="00284A5D">
      <w:pPr>
        <w:spacing w:line="276" w:lineRule="auto"/>
        <w:rPr>
          <w:rFonts w:ascii="Times New Roman" w:eastAsia="Calibri" w:hAnsi="Times New Roman" w:cs="Times New Roman"/>
          <w:b/>
          <w:bCs/>
          <w:caps/>
          <w:color w:val="000000"/>
        </w:rPr>
        <w:sectPr w:rsidR="00284A5D" w:rsidSect="003C49D8">
          <w:type w:val="continuous"/>
          <w:pgSz w:w="12240" w:h="15840"/>
          <w:pgMar w:top="1440" w:right="720" w:bottom="1440" w:left="1440" w:header="720" w:footer="720" w:gutter="0"/>
          <w:cols w:num="2" w:space="576"/>
          <w:docGrid w:linePitch="360"/>
        </w:sectPr>
      </w:pPr>
    </w:p>
    <w:p w14:paraId="35320A00" w14:textId="13F6FC4C" w:rsidR="00B46107" w:rsidRPr="00846575" w:rsidRDefault="00B46107" w:rsidP="00B46107">
      <w:pPr>
        <w:pStyle w:val="Caption"/>
        <w:keepNext/>
        <w:rPr>
          <w:rFonts w:ascii="Times New Roman" w:hAnsi="Times New Roman" w:cs="Times New Roman"/>
          <w:i w:val="0"/>
          <w:iCs w:val="0"/>
          <w:color w:val="auto"/>
          <w:sz w:val="24"/>
          <w:szCs w:val="24"/>
        </w:rPr>
      </w:pPr>
      <w:r w:rsidRPr="00846575">
        <w:rPr>
          <w:rFonts w:ascii="Times New Roman" w:hAnsi="Times New Roman" w:cs="Times New Roman"/>
          <w:i w:val="0"/>
          <w:iCs w:val="0"/>
          <w:color w:val="auto"/>
          <w:sz w:val="24"/>
          <w:szCs w:val="24"/>
        </w:rPr>
        <w:t>Table 2: Reasons for Admission by WHO-Disease Category (ICD) to Medical Ward (N =1118)</w:t>
      </w:r>
    </w:p>
    <w:tbl>
      <w:tblPr>
        <w:tblStyle w:val="PlainTable31"/>
        <w:tblW w:w="4895" w:type="pct"/>
        <w:tblInd w:w="108" w:type="dxa"/>
        <w:tblLook w:val="04A0" w:firstRow="1" w:lastRow="0" w:firstColumn="1" w:lastColumn="0" w:noHBand="0" w:noVBand="1"/>
      </w:tblPr>
      <w:tblGrid>
        <w:gridCol w:w="2236"/>
        <w:gridCol w:w="5042"/>
        <w:gridCol w:w="1512"/>
        <w:gridCol w:w="1290"/>
      </w:tblGrid>
      <w:tr w:rsidR="00284A5D" w:rsidRPr="00284A5D" w14:paraId="026C0695" w14:textId="77777777" w:rsidTr="004B6650">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1109" w:type="pct"/>
            <w:tcBorders>
              <w:top w:val="single" w:sz="4" w:space="0" w:color="auto"/>
            </w:tcBorders>
            <w:shd w:val="clear" w:color="auto" w:fill="auto"/>
            <w:hideMark/>
          </w:tcPr>
          <w:p w14:paraId="4AB86C7E" w14:textId="77777777" w:rsidR="00284A5D" w:rsidRPr="004B6650" w:rsidRDefault="00284A5D" w:rsidP="004B6650">
            <w:pPr>
              <w:rPr>
                <w:rFonts w:ascii="Times New Roman" w:eastAsia="Calibri" w:hAnsi="Times New Roman" w:cs="Times New Roman"/>
                <w:color w:val="000000"/>
              </w:rPr>
            </w:pPr>
            <w:r w:rsidRPr="004B6650">
              <w:rPr>
                <w:rFonts w:ascii="Times New Roman" w:eastAsia="Calibri" w:hAnsi="Times New Roman" w:cs="Times New Roman"/>
                <w:color w:val="000000"/>
              </w:rPr>
              <w:t>ICD Category</w:t>
            </w:r>
          </w:p>
        </w:tc>
        <w:tc>
          <w:tcPr>
            <w:tcW w:w="2501" w:type="pct"/>
            <w:tcBorders>
              <w:top w:val="single" w:sz="4" w:space="0" w:color="auto"/>
            </w:tcBorders>
            <w:shd w:val="clear" w:color="auto" w:fill="auto"/>
            <w:hideMark/>
          </w:tcPr>
          <w:p w14:paraId="122411A4" w14:textId="77777777" w:rsidR="00284A5D" w:rsidRPr="004B6650" w:rsidRDefault="00284A5D" w:rsidP="004B665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Reason for Admission</w:t>
            </w:r>
          </w:p>
        </w:tc>
        <w:tc>
          <w:tcPr>
            <w:tcW w:w="750" w:type="pct"/>
            <w:tcBorders>
              <w:top w:val="single" w:sz="4" w:space="0" w:color="auto"/>
            </w:tcBorders>
            <w:shd w:val="clear" w:color="auto" w:fill="auto"/>
            <w:hideMark/>
          </w:tcPr>
          <w:p w14:paraId="0F8EBCEA" w14:textId="77777777" w:rsidR="00284A5D" w:rsidRPr="004B6650" w:rsidRDefault="00284A5D" w:rsidP="004B665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Male</w:t>
            </w:r>
          </w:p>
          <w:p w14:paraId="71F216C6" w14:textId="77777777" w:rsidR="00284A5D" w:rsidRPr="004B6650" w:rsidRDefault="00284A5D" w:rsidP="004B665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N (%)</w:t>
            </w:r>
          </w:p>
        </w:tc>
        <w:tc>
          <w:tcPr>
            <w:tcW w:w="640" w:type="pct"/>
            <w:tcBorders>
              <w:top w:val="single" w:sz="4" w:space="0" w:color="auto"/>
            </w:tcBorders>
            <w:shd w:val="clear" w:color="auto" w:fill="auto"/>
            <w:hideMark/>
          </w:tcPr>
          <w:p w14:paraId="6AADC932" w14:textId="77777777" w:rsidR="00284A5D" w:rsidRPr="004B6650" w:rsidRDefault="00284A5D" w:rsidP="004B665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Female</w:t>
            </w:r>
          </w:p>
          <w:p w14:paraId="280C7EDF" w14:textId="77777777" w:rsidR="00284A5D" w:rsidRPr="004B6650" w:rsidRDefault="00284A5D" w:rsidP="004B665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N (%)</w:t>
            </w:r>
          </w:p>
        </w:tc>
      </w:tr>
      <w:tr w:rsidR="00284A5D" w:rsidRPr="00284A5D" w14:paraId="3F684E67" w14:textId="77777777" w:rsidTr="004B6650">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0545463E"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A/B</w:t>
            </w:r>
          </w:p>
        </w:tc>
        <w:tc>
          <w:tcPr>
            <w:tcW w:w="2501" w:type="pct"/>
            <w:shd w:val="clear" w:color="auto" w:fill="auto"/>
            <w:hideMark/>
          </w:tcPr>
          <w:p w14:paraId="4DA47046"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Infectious or parasitic diseases</w:t>
            </w:r>
          </w:p>
        </w:tc>
        <w:tc>
          <w:tcPr>
            <w:tcW w:w="750" w:type="pct"/>
            <w:shd w:val="clear" w:color="auto" w:fill="auto"/>
          </w:tcPr>
          <w:p w14:paraId="3873FD4B" w14:textId="77777777"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137 (24.6%)</w:t>
            </w:r>
          </w:p>
        </w:tc>
        <w:tc>
          <w:tcPr>
            <w:tcW w:w="640" w:type="pct"/>
            <w:shd w:val="clear" w:color="auto" w:fill="auto"/>
          </w:tcPr>
          <w:p w14:paraId="54C908ED" w14:textId="3AEC534B"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143(25.4</w:t>
            </w:r>
            <w:r w:rsidR="000B2661" w:rsidRPr="004B6650">
              <w:rPr>
                <w:rFonts w:ascii="Times New Roman" w:eastAsia="Calibri" w:hAnsi="Times New Roman" w:cs="Times New Roman"/>
                <w:color w:val="000000"/>
              </w:rPr>
              <w:t>%)</w:t>
            </w:r>
          </w:p>
        </w:tc>
      </w:tr>
      <w:tr w:rsidR="00284A5D" w:rsidRPr="00284A5D" w14:paraId="12847C9F" w14:textId="77777777" w:rsidTr="004B6650">
        <w:trPr>
          <w:trHeight w:val="126"/>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1F94AB3F"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C</w:t>
            </w:r>
          </w:p>
        </w:tc>
        <w:tc>
          <w:tcPr>
            <w:tcW w:w="2501" w:type="pct"/>
            <w:shd w:val="clear" w:color="auto" w:fill="auto"/>
            <w:hideMark/>
          </w:tcPr>
          <w:p w14:paraId="257A63F5" w14:textId="77777777" w:rsidR="00284A5D" w:rsidRPr="004B6650" w:rsidRDefault="00284A5D" w:rsidP="000B266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Malignant neoplasms</w:t>
            </w:r>
          </w:p>
        </w:tc>
        <w:tc>
          <w:tcPr>
            <w:tcW w:w="750" w:type="pct"/>
            <w:shd w:val="clear" w:color="auto" w:fill="auto"/>
          </w:tcPr>
          <w:p w14:paraId="63598033" w14:textId="77777777" w:rsidR="00284A5D" w:rsidRPr="004B6650" w:rsidRDefault="00284A5D" w:rsidP="000B266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25 (4.5%)</w:t>
            </w:r>
          </w:p>
        </w:tc>
        <w:tc>
          <w:tcPr>
            <w:tcW w:w="640" w:type="pct"/>
            <w:shd w:val="clear" w:color="auto" w:fill="auto"/>
          </w:tcPr>
          <w:p w14:paraId="7B980854" w14:textId="77777777" w:rsidR="00284A5D" w:rsidRPr="004B6650" w:rsidRDefault="00284A5D" w:rsidP="00C744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18 (3.2%)</w:t>
            </w:r>
          </w:p>
        </w:tc>
      </w:tr>
      <w:tr w:rsidR="00284A5D" w:rsidRPr="00284A5D" w14:paraId="2022BF1F" w14:textId="77777777" w:rsidTr="004B6650">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7FADAE35"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D</w:t>
            </w:r>
          </w:p>
        </w:tc>
        <w:tc>
          <w:tcPr>
            <w:tcW w:w="2501" w:type="pct"/>
            <w:shd w:val="clear" w:color="auto" w:fill="auto"/>
            <w:hideMark/>
          </w:tcPr>
          <w:p w14:paraId="45012E46"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blood</w:t>
            </w:r>
          </w:p>
        </w:tc>
        <w:tc>
          <w:tcPr>
            <w:tcW w:w="750" w:type="pct"/>
            <w:shd w:val="clear" w:color="auto" w:fill="auto"/>
          </w:tcPr>
          <w:p w14:paraId="5959198E" w14:textId="0C3F525A"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29 (5.2</w:t>
            </w:r>
            <w:r w:rsidR="000B2661" w:rsidRPr="004B6650">
              <w:rPr>
                <w:rFonts w:ascii="Times New Roman" w:eastAsia="Calibri" w:hAnsi="Times New Roman" w:cs="Times New Roman"/>
                <w:color w:val="000000"/>
              </w:rPr>
              <w:t>%)</w:t>
            </w:r>
          </w:p>
        </w:tc>
        <w:tc>
          <w:tcPr>
            <w:tcW w:w="640" w:type="pct"/>
            <w:shd w:val="clear" w:color="auto" w:fill="auto"/>
          </w:tcPr>
          <w:p w14:paraId="4A364C87" w14:textId="27AB69D9"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24 (4.3</w:t>
            </w:r>
            <w:r w:rsidR="000B2661" w:rsidRPr="004B6650">
              <w:rPr>
                <w:rFonts w:ascii="Times New Roman" w:eastAsia="Calibri" w:hAnsi="Times New Roman" w:cs="Times New Roman"/>
                <w:color w:val="000000"/>
              </w:rPr>
              <w:t>%)</w:t>
            </w:r>
          </w:p>
        </w:tc>
      </w:tr>
      <w:tr w:rsidR="00284A5D" w:rsidRPr="00284A5D" w14:paraId="5D27C058" w14:textId="77777777" w:rsidTr="004B6650">
        <w:trPr>
          <w:trHeight w:val="288"/>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700AC733"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E</w:t>
            </w:r>
          </w:p>
        </w:tc>
        <w:tc>
          <w:tcPr>
            <w:tcW w:w="2501" w:type="pct"/>
            <w:shd w:val="clear" w:color="auto" w:fill="auto"/>
            <w:hideMark/>
          </w:tcPr>
          <w:p w14:paraId="6888DF8B" w14:textId="77777777" w:rsidR="00284A5D" w:rsidRPr="004B6650" w:rsidRDefault="00284A5D" w:rsidP="000B266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Endocrine, nutrition, and metabolic diseases</w:t>
            </w:r>
          </w:p>
        </w:tc>
        <w:tc>
          <w:tcPr>
            <w:tcW w:w="750" w:type="pct"/>
            <w:shd w:val="clear" w:color="auto" w:fill="auto"/>
          </w:tcPr>
          <w:p w14:paraId="65F4C69D" w14:textId="614BC36A" w:rsidR="00284A5D" w:rsidRPr="004B6650" w:rsidRDefault="00284A5D" w:rsidP="000B266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37 (6.7</w:t>
            </w:r>
            <w:r w:rsidR="000B2661" w:rsidRPr="004B6650">
              <w:rPr>
                <w:rFonts w:ascii="Times New Roman" w:eastAsia="Calibri" w:hAnsi="Times New Roman" w:cs="Times New Roman"/>
                <w:color w:val="000000"/>
              </w:rPr>
              <w:t>%)</w:t>
            </w:r>
          </w:p>
        </w:tc>
        <w:tc>
          <w:tcPr>
            <w:tcW w:w="640" w:type="pct"/>
            <w:shd w:val="clear" w:color="auto" w:fill="auto"/>
          </w:tcPr>
          <w:p w14:paraId="7A745D2F" w14:textId="77777777" w:rsidR="00284A5D" w:rsidRPr="004B6650" w:rsidRDefault="00284A5D" w:rsidP="00C744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22 (3.9%)</w:t>
            </w:r>
          </w:p>
        </w:tc>
      </w:tr>
      <w:tr w:rsidR="00284A5D" w:rsidRPr="00284A5D" w14:paraId="76C0F0FD" w14:textId="77777777" w:rsidTr="004B6650">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590ADBF0"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G</w:t>
            </w:r>
          </w:p>
        </w:tc>
        <w:tc>
          <w:tcPr>
            <w:tcW w:w="2501" w:type="pct"/>
            <w:shd w:val="clear" w:color="auto" w:fill="auto"/>
            <w:hideMark/>
          </w:tcPr>
          <w:p w14:paraId="10A47C94"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nervous system</w:t>
            </w:r>
          </w:p>
        </w:tc>
        <w:tc>
          <w:tcPr>
            <w:tcW w:w="750" w:type="pct"/>
            <w:shd w:val="clear" w:color="auto" w:fill="auto"/>
          </w:tcPr>
          <w:p w14:paraId="114BECF2" w14:textId="77777777"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46 (8.3%)</w:t>
            </w:r>
          </w:p>
        </w:tc>
        <w:tc>
          <w:tcPr>
            <w:tcW w:w="640" w:type="pct"/>
            <w:shd w:val="clear" w:color="auto" w:fill="auto"/>
          </w:tcPr>
          <w:p w14:paraId="28CDB5B7" w14:textId="3E1AE164"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85 (15.1</w:t>
            </w:r>
            <w:r w:rsidR="000B2661" w:rsidRPr="004B6650">
              <w:rPr>
                <w:rFonts w:ascii="Times New Roman" w:eastAsia="Calibri" w:hAnsi="Times New Roman" w:cs="Times New Roman"/>
                <w:color w:val="000000"/>
              </w:rPr>
              <w:t>%)</w:t>
            </w:r>
          </w:p>
        </w:tc>
      </w:tr>
      <w:tr w:rsidR="00284A5D" w:rsidRPr="00284A5D" w14:paraId="142211E1" w14:textId="77777777" w:rsidTr="004B6650">
        <w:trPr>
          <w:trHeight w:val="199"/>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62EA0D00"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I</w:t>
            </w:r>
          </w:p>
        </w:tc>
        <w:tc>
          <w:tcPr>
            <w:tcW w:w="2501" w:type="pct"/>
            <w:shd w:val="clear" w:color="auto" w:fill="auto"/>
            <w:hideMark/>
          </w:tcPr>
          <w:p w14:paraId="480192D7" w14:textId="77777777" w:rsidR="00284A5D" w:rsidRPr="004B6650" w:rsidRDefault="00284A5D" w:rsidP="000B266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circulatory system</w:t>
            </w:r>
          </w:p>
        </w:tc>
        <w:tc>
          <w:tcPr>
            <w:tcW w:w="750" w:type="pct"/>
            <w:shd w:val="clear" w:color="auto" w:fill="auto"/>
          </w:tcPr>
          <w:p w14:paraId="7F6B13C6" w14:textId="0B69720A" w:rsidR="00284A5D" w:rsidRPr="004B6650" w:rsidRDefault="00284A5D" w:rsidP="000B266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98 (17.6</w:t>
            </w:r>
            <w:r w:rsidR="000B2661" w:rsidRPr="004B6650">
              <w:rPr>
                <w:rFonts w:ascii="Times New Roman" w:eastAsia="Calibri" w:hAnsi="Times New Roman" w:cs="Times New Roman"/>
                <w:color w:val="000000"/>
              </w:rPr>
              <w:t>%)</w:t>
            </w:r>
          </w:p>
        </w:tc>
        <w:tc>
          <w:tcPr>
            <w:tcW w:w="640" w:type="pct"/>
            <w:shd w:val="clear" w:color="auto" w:fill="auto"/>
          </w:tcPr>
          <w:p w14:paraId="49E292AF" w14:textId="17442FDA" w:rsidR="00284A5D" w:rsidRPr="004B6650" w:rsidRDefault="00284A5D" w:rsidP="00C744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106 18.9</w:t>
            </w:r>
            <w:r w:rsidR="000B2661" w:rsidRPr="004B6650">
              <w:rPr>
                <w:rFonts w:ascii="Times New Roman" w:eastAsia="Calibri" w:hAnsi="Times New Roman" w:cs="Times New Roman"/>
                <w:color w:val="000000"/>
              </w:rPr>
              <w:t>%)</w:t>
            </w:r>
          </w:p>
        </w:tc>
      </w:tr>
      <w:tr w:rsidR="00284A5D" w:rsidRPr="00284A5D" w14:paraId="57594970" w14:textId="77777777" w:rsidTr="004B6650">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7A149118"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J</w:t>
            </w:r>
          </w:p>
        </w:tc>
        <w:tc>
          <w:tcPr>
            <w:tcW w:w="2501" w:type="pct"/>
            <w:shd w:val="clear" w:color="auto" w:fill="auto"/>
            <w:hideMark/>
          </w:tcPr>
          <w:p w14:paraId="020F33F1"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respiratory system</w:t>
            </w:r>
          </w:p>
        </w:tc>
        <w:tc>
          <w:tcPr>
            <w:tcW w:w="750" w:type="pct"/>
            <w:shd w:val="clear" w:color="auto" w:fill="auto"/>
          </w:tcPr>
          <w:p w14:paraId="1C485F86" w14:textId="77777777"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39 (7.0%)</w:t>
            </w:r>
          </w:p>
        </w:tc>
        <w:tc>
          <w:tcPr>
            <w:tcW w:w="640" w:type="pct"/>
            <w:shd w:val="clear" w:color="auto" w:fill="auto"/>
          </w:tcPr>
          <w:p w14:paraId="1F854949" w14:textId="31D1A1A3"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40 (7.1</w:t>
            </w:r>
            <w:r w:rsidR="000B2661" w:rsidRPr="004B6650">
              <w:rPr>
                <w:rFonts w:ascii="Times New Roman" w:eastAsia="Calibri" w:hAnsi="Times New Roman" w:cs="Times New Roman"/>
                <w:color w:val="000000"/>
              </w:rPr>
              <w:t>%)</w:t>
            </w:r>
          </w:p>
        </w:tc>
      </w:tr>
      <w:tr w:rsidR="00284A5D" w:rsidRPr="00284A5D" w14:paraId="464B5791" w14:textId="77777777" w:rsidTr="004B6650">
        <w:trPr>
          <w:trHeight w:val="135"/>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17633850"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K</w:t>
            </w:r>
          </w:p>
        </w:tc>
        <w:tc>
          <w:tcPr>
            <w:tcW w:w="2501" w:type="pct"/>
            <w:shd w:val="clear" w:color="auto" w:fill="auto"/>
            <w:hideMark/>
          </w:tcPr>
          <w:p w14:paraId="54741ABF" w14:textId="77777777" w:rsidR="00284A5D" w:rsidRPr="004B6650" w:rsidRDefault="00284A5D" w:rsidP="000B266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digestive system</w:t>
            </w:r>
          </w:p>
        </w:tc>
        <w:tc>
          <w:tcPr>
            <w:tcW w:w="750" w:type="pct"/>
            <w:shd w:val="clear" w:color="auto" w:fill="auto"/>
          </w:tcPr>
          <w:p w14:paraId="0532E862" w14:textId="6752D1C2" w:rsidR="00284A5D" w:rsidRPr="004B6650" w:rsidRDefault="00284A5D" w:rsidP="000B266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46 (8.3</w:t>
            </w:r>
            <w:r w:rsidR="000B2661" w:rsidRPr="004B6650">
              <w:rPr>
                <w:rFonts w:ascii="Times New Roman" w:eastAsia="Calibri" w:hAnsi="Times New Roman" w:cs="Times New Roman"/>
                <w:color w:val="000000"/>
              </w:rPr>
              <w:t>%)</w:t>
            </w:r>
          </w:p>
        </w:tc>
        <w:tc>
          <w:tcPr>
            <w:tcW w:w="640" w:type="pct"/>
            <w:shd w:val="clear" w:color="auto" w:fill="auto"/>
          </w:tcPr>
          <w:p w14:paraId="0D09A6A9" w14:textId="7C091343" w:rsidR="00284A5D" w:rsidRPr="004B6650" w:rsidRDefault="00284A5D" w:rsidP="00C744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44 (7.8</w:t>
            </w:r>
            <w:r w:rsidR="000B2661" w:rsidRPr="004B6650">
              <w:rPr>
                <w:rFonts w:ascii="Times New Roman" w:eastAsia="Calibri" w:hAnsi="Times New Roman" w:cs="Times New Roman"/>
                <w:color w:val="000000"/>
              </w:rPr>
              <w:t>%)</w:t>
            </w:r>
          </w:p>
        </w:tc>
      </w:tr>
      <w:tr w:rsidR="00284A5D" w:rsidRPr="00284A5D" w14:paraId="4060B429" w14:textId="77777777" w:rsidTr="004B665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536B3C07"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M</w:t>
            </w:r>
          </w:p>
        </w:tc>
        <w:tc>
          <w:tcPr>
            <w:tcW w:w="2501" w:type="pct"/>
            <w:shd w:val="clear" w:color="auto" w:fill="auto"/>
            <w:hideMark/>
          </w:tcPr>
          <w:p w14:paraId="53EAB707"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Spondylopathies and musculoskeletal disorders</w:t>
            </w:r>
          </w:p>
        </w:tc>
        <w:tc>
          <w:tcPr>
            <w:tcW w:w="750" w:type="pct"/>
            <w:shd w:val="clear" w:color="auto" w:fill="auto"/>
          </w:tcPr>
          <w:p w14:paraId="6E7C6341" w14:textId="77777777"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35 (6.3%)</w:t>
            </w:r>
          </w:p>
        </w:tc>
        <w:tc>
          <w:tcPr>
            <w:tcW w:w="640" w:type="pct"/>
            <w:shd w:val="clear" w:color="auto" w:fill="auto"/>
          </w:tcPr>
          <w:p w14:paraId="34F89B0B" w14:textId="1ED8CDA1"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5 (0.9</w:t>
            </w:r>
            <w:r w:rsidR="000B2661" w:rsidRPr="004B6650">
              <w:rPr>
                <w:rFonts w:ascii="Times New Roman" w:eastAsia="Calibri" w:hAnsi="Times New Roman" w:cs="Times New Roman"/>
                <w:color w:val="000000"/>
              </w:rPr>
              <w:t>%)</w:t>
            </w:r>
          </w:p>
        </w:tc>
      </w:tr>
      <w:tr w:rsidR="00284A5D" w:rsidRPr="00284A5D" w14:paraId="4C1F9CD1" w14:textId="77777777" w:rsidTr="004B6650">
        <w:trPr>
          <w:trHeight w:val="60"/>
        </w:trPr>
        <w:tc>
          <w:tcPr>
            <w:cnfStyle w:val="001000000000" w:firstRow="0" w:lastRow="0" w:firstColumn="1" w:lastColumn="0" w:oddVBand="0" w:evenVBand="0" w:oddHBand="0" w:evenHBand="0" w:firstRowFirstColumn="0" w:firstRowLastColumn="0" w:lastRowFirstColumn="0" w:lastRowLastColumn="0"/>
            <w:tcW w:w="1109" w:type="pct"/>
            <w:shd w:val="clear" w:color="auto" w:fill="auto"/>
            <w:hideMark/>
          </w:tcPr>
          <w:p w14:paraId="58EC6774" w14:textId="77777777" w:rsidR="00284A5D" w:rsidRPr="004B6650" w:rsidRDefault="00284A5D" w:rsidP="00284A5D">
            <w:pPr>
              <w:jc w:val="center"/>
              <w:rPr>
                <w:rFonts w:ascii="Times New Roman" w:eastAsia="Calibri" w:hAnsi="Times New Roman" w:cs="Times New Roman"/>
                <w:color w:val="000000"/>
              </w:rPr>
            </w:pPr>
            <w:r w:rsidRPr="004B6650">
              <w:rPr>
                <w:rFonts w:ascii="Times New Roman" w:eastAsia="Calibri" w:hAnsi="Times New Roman" w:cs="Times New Roman"/>
                <w:color w:val="000000"/>
              </w:rPr>
              <w:t>N</w:t>
            </w:r>
          </w:p>
        </w:tc>
        <w:tc>
          <w:tcPr>
            <w:tcW w:w="2501" w:type="pct"/>
            <w:shd w:val="clear" w:color="auto" w:fill="auto"/>
            <w:hideMark/>
          </w:tcPr>
          <w:p w14:paraId="0049AFD3" w14:textId="77777777" w:rsidR="00284A5D" w:rsidRPr="004B6650" w:rsidRDefault="00284A5D" w:rsidP="000B266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Diseases of the genitourinary system</w:t>
            </w:r>
          </w:p>
        </w:tc>
        <w:tc>
          <w:tcPr>
            <w:tcW w:w="750" w:type="pct"/>
            <w:shd w:val="clear" w:color="auto" w:fill="auto"/>
          </w:tcPr>
          <w:p w14:paraId="25EAED99" w14:textId="77777777" w:rsidR="00284A5D" w:rsidRPr="004B6650" w:rsidRDefault="00284A5D" w:rsidP="000B266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64 (11.5%)</w:t>
            </w:r>
          </w:p>
        </w:tc>
        <w:tc>
          <w:tcPr>
            <w:tcW w:w="640" w:type="pct"/>
            <w:shd w:val="clear" w:color="auto" w:fill="auto"/>
          </w:tcPr>
          <w:p w14:paraId="40A9C60C" w14:textId="29F222D9" w:rsidR="00284A5D" w:rsidRPr="004B6650" w:rsidRDefault="00284A5D" w:rsidP="00C744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75 (13.3</w:t>
            </w:r>
            <w:r w:rsidR="000B2661" w:rsidRPr="004B6650">
              <w:rPr>
                <w:rFonts w:ascii="Times New Roman" w:eastAsia="Calibri" w:hAnsi="Times New Roman" w:cs="Times New Roman"/>
                <w:color w:val="000000"/>
              </w:rPr>
              <w:t>%)</w:t>
            </w:r>
          </w:p>
        </w:tc>
      </w:tr>
      <w:tr w:rsidR="00284A5D" w:rsidRPr="00284A5D" w14:paraId="3B07AA76" w14:textId="77777777" w:rsidTr="004B665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09" w:type="pct"/>
            <w:tcBorders>
              <w:bottom w:val="single" w:sz="4" w:space="0" w:color="auto"/>
            </w:tcBorders>
            <w:shd w:val="clear" w:color="auto" w:fill="auto"/>
          </w:tcPr>
          <w:p w14:paraId="73CFCB53" w14:textId="77777777" w:rsidR="00284A5D" w:rsidRPr="004B6650" w:rsidRDefault="00284A5D" w:rsidP="00284A5D">
            <w:pPr>
              <w:rPr>
                <w:rFonts w:ascii="Times New Roman" w:eastAsia="Calibri" w:hAnsi="Times New Roman" w:cs="Times New Roman"/>
                <w:color w:val="000000"/>
              </w:rPr>
            </w:pPr>
          </w:p>
        </w:tc>
        <w:tc>
          <w:tcPr>
            <w:tcW w:w="2501" w:type="pct"/>
            <w:tcBorders>
              <w:bottom w:val="single" w:sz="4" w:space="0" w:color="auto"/>
            </w:tcBorders>
            <w:shd w:val="clear" w:color="auto" w:fill="auto"/>
          </w:tcPr>
          <w:p w14:paraId="05B82159" w14:textId="77777777" w:rsidR="00284A5D" w:rsidRPr="004B6650" w:rsidRDefault="00284A5D" w:rsidP="000B266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Total</w:t>
            </w:r>
          </w:p>
        </w:tc>
        <w:tc>
          <w:tcPr>
            <w:tcW w:w="750" w:type="pct"/>
            <w:tcBorders>
              <w:bottom w:val="single" w:sz="4" w:space="0" w:color="auto"/>
            </w:tcBorders>
            <w:shd w:val="clear" w:color="auto" w:fill="auto"/>
          </w:tcPr>
          <w:p w14:paraId="03E3FFEB" w14:textId="66164571" w:rsidR="00284A5D" w:rsidRPr="004B6650" w:rsidRDefault="00284A5D" w:rsidP="000B266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556 (100</w:t>
            </w:r>
            <w:r w:rsidR="000B2661" w:rsidRPr="004B6650">
              <w:rPr>
                <w:rFonts w:ascii="Times New Roman" w:eastAsia="Calibri" w:hAnsi="Times New Roman" w:cs="Times New Roman"/>
                <w:color w:val="000000"/>
              </w:rPr>
              <w:t>%)</w:t>
            </w:r>
          </w:p>
        </w:tc>
        <w:tc>
          <w:tcPr>
            <w:tcW w:w="640" w:type="pct"/>
            <w:tcBorders>
              <w:bottom w:val="single" w:sz="4" w:space="0" w:color="auto"/>
            </w:tcBorders>
            <w:shd w:val="clear" w:color="auto" w:fill="auto"/>
          </w:tcPr>
          <w:p w14:paraId="5CDD90C5" w14:textId="41D02994" w:rsidR="00284A5D" w:rsidRPr="004B6650" w:rsidRDefault="00284A5D" w:rsidP="00C744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4B6650">
              <w:rPr>
                <w:rFonts w:ascii="Times New Roman" w:eastAsia="Calibri" w:hAnsi="Times New Roman" w:cs="Times New Roman"/>
                <w:color w:val="000000"/>
              </w:rPr>
              <w:t>562 (100</w:t>
            </w:r>
            <w:r w:rsidR="000B2661" w:rsidRPr="004B6650">
              <w:rPr>
                <w:rFonts w:ascii="Times New Roman" w:eastAsia="Calibri" w:hAnsi="Times New Roman" w:cs="Times New Roman"/>
                <w:color w:val="000000"/>
              </w:rPr>
              <w:t>%)</w:t>
            </w:r>
          </w:p>
        </w:tc>
      </w:tr>
    </w:tbl>
    <w:p w14:paraId="182EE43E" w14:textId="77777777" w:rsidR="00284A5D" w:rsidRDefault="00284A5D" w:rsidP="0092177B">
      <w:pPr>
        <w:spacing w:line="240" w:lineRule="auto"/>
        <w:rPr>
          <w:rFonts w:ascii="Times New Roman" w:eastAsia="Calibri" w:hAnsi="Times New Roman" w:cs="Times New Roman"/>
          <w:sz w:val="24"/>
          <w:szCs w:val="24"/>
        </w:rPr>
        <w:sectPr w:rsidR="00284A5D" w:rsidSect="00284A5D">
          <w:type w:val="continuous"/>
          <w:pgSz w:w="12240" w:h="15840"/>
          <w:pgMar w:top="1440" w:right="720" w:bottom="1440" w:left="1440" w:header="720" w:footer="720" w:gutter="0"/>
          <w:cols w:space="576"/>
          <w:docGrid w:linePitch="360"/>
        </w:sectPr>
      </w:pPr>
    </w:p>
    <w:bookmarkEnd w:id="8"/>
    <w:p w14:paraId="4E8D20A1" w14:textId="11CACA42" w:rsidR="00B62126" w:rsidRPr="00846575" w:rsidRDefault="00284A5D" w:rsidP="007C6AFB">
      <w:pPr>
        <w:spacing w:line="240" w:lineRule="auto"/>
        <w:rPr>
          <w:rFonts w:ascii="Times New Roman" w:eastAsia="Calibri" w:hAnsi="Times New Roman" w:cs="Times New Roman"/>
          <w:b/>
          <w:bCs/>
          <w:sz w:val="18"/>
          <w:szCs w:val="18"/>
        </w:rPr>
      </w:pPr>
      <w:r w:rsidRPr="00846575">
        <w:rPr>
          <w:rFonts w:ascii="Times New Roman" w:eastAsia="Calibri" w:hAnsi="Times New Roman" w:cs="Times New Roman"/>
          <w:b/>
          <w:bCs/>
          <w:sz w:val="18"/>
          <w:szCs w:val="18"/>
        </w:rPr>
        <w:t>ICD=International Classification of Diseases</w:t>
      </w:r>
    </w:p>
    <w:p w14:paraId="32AA4238" w14:textId="77777777" w:rsidR="00C764B4" w:rsidRDefault="00C764B4" w:rsidP="007C6AFB">
      <w:pPr>
        <w:spacing w:line="240" w:lineRule="auto"/>
        <w:rPr>
          <w:rFonts w:ascii="Times New Roman" w:eastAsia="Calibri" w:hAnsi="Times New Roman" w:cs="Times New Roman"/>
          <w:sz w:val="24"/>
          <w:szCs w:val="24"/>
        </w:rPr>
      </w:pPr>
    </w:p>
    <w:p w14:paraId="24F270D3" w14:textId="77777777" w:rsidR="00284A5D" w:rsidRPr="00284A5D" w:rsidRDefault="00284A5D" w:rsidP="00284A5D">
      <w:pPr>
        <w:shd w:val="clear" w:color="auto" w:fill="FFFFFF"/>
        <w:tabs>
          <w:tab w:val="left" w:pos="4755"/>
          <w:tab w:val="left" w:pos="5461"/>
        </w:tabs>
        <w:spacing w:after="160" w:line="259" w:lineRule="auto"/>
        <w:jc w:val="left"/>
        <w:rPr>
          <w:rFonts w:ascii="Times New Roman" w:eastAsia="Calibri" w:hAnsi="Times New Roman" w:cs="Times New Roman"/>
          <w:b/>
          <w:color w:val="000000"/>
          <w:sz w:val="24"/>
          <w:lang w:val="en-GB"/>
        </w:rPr>
      </w:pPr>
      <w:r w:rsidRPr="00284A5D">
        <w:rPr>
          <w:rFonts w:ascii="Times New Roman" w:eastAsia="Calibri" w:hAnsi="Times New Roman" w:cs="Times New Roman"/>
          <w:b/>
          <w:color w:val="000000"/>
          <w:sz w:val="24"/>
          <w:lang w:val="en-GB"/>
        </w:rPr>
        <w:t>Diseases Causing Admissions to the Medical Ward</w:t>
      </w:r>
    </w:p>
    <w:p w14:paraId="372C69A0" w14:textId="77777777" w:rsidR="00284A5D" w:rsidRDefault="00284A5D" w:rsidP="007C6AFB">
      <w:pPr>
        <w:spacing w:line="240" w:lineRule="auto"/>
        <w:rPr>
          <w:rFonts w:ascii="Times New Roman" w:eastAsia="Calibri" w:hAnsi="Times New Roman" w:cs="Times New Roman"/>
          <w:sz w:val="24"/>
          <w:szCs w:val="24"/>
          <w:lang w:val="en-GB"/>
        </w:rPr>
        <w:sectPr w:rsidR="00284A5D" w:rsidSect="00783892">
          <w:type w:val="continuous"/>
          <w:pgSz w:w="12240" w:h="15840"/>
          <w:pgMar w:top="1440" w:right="720" w:bottom="1440" w:left="1440" w:header="720" w:footer="720" w:gutter="0"/>
          <w:cols w:space="576"/>
          <w:docGrid w:linePitch="360"/>
        </w:sectPr>
      </w:pPr>
    </w:p>
    <w:p w14:paraId="01638384" w14:textId="5C3A3B90" w:rsidR="00C764B4" w:rsidRDefault="00C764B4" w:rsidP="00846575">
      <w:pPr>
        <w:spacing w:line="240" w:lineRule="auto"/>
        <w:rPr>
          <w:rFonts w:ascii="Calibri Light" w:eastAsia="SimSun" w:hAnsi="Calibri Light" w:cs="Kalinga"/>
          <w:b/>
          <w:bCs/>
          <w:color w:val="000000"/>
          <w:lang w:eastAsia="en-GB"/>
        </w:rPr>
        <w:sectPr w:rsidR="00C764B4" w:rsidSect="00C764B4">
          <w:type w:val="continuous"/>
          <w:pgSz w:w="12240" w:h="15840"/>
          <w:pgMar w:top="1440" w:right="720" w:bottom="1440" w:left="1440" w:header="720" w:footer="720" w:gutter="0"/>
          <w:cols w:num="2" w:space="576"/>
          <w:docGrid w:linePitch="360"/>
        </w:sectPr>
      </w:pPr>
      <w:r>
        <w:rPr>
          <w:rFonts w:ascii="Times New Roman" w:eastAsia="Calibri" w:hAnsi="Times New Roman" w:cs="Times New Roman"/>
          <w:sz w:val="24"/>
          <w:szCs w:val="24"/>
          <w:lang w:val="en-GB"/>
        </w:rPr>
        <w:t>T</w:t>
      </w:r>
      <w:r w:rsidR="00284A5D" w:rsidRPr="00284A5D">
        <w:rPr>
          <w:rFonts w:ascii="Times New Roman" w:eastAsia="Calibri" w:hAnsi="Times New Roman" w:cs="Times New Roman"/>
          <w:sz w:val="24"/>
          <w:szCs w:val="24"/>
          <w:lang w:val="en-GB"/>
        </w:rPr>
        <w:t xml:space="preserve">he most frequently diagnosed specific condition was congestive heart failure (CHF), which comprised 7.8% of all admissions and was somewhat female </w:t>
      </w:r>
      <w:r w:rsidRPr="00284A5D">
        <w:rPr>
          <w:rFonts w:ascii="Times New Roman" w:eastAsia="Calibri" w:hAnsi="Times New Roman" w:cs="Times New Roman"/>
          <w:sz w:val="24"/>
          <w:szCs w:val="24"/>
          <w:lang w:val="en-GB"/>
        </w:rPr>
        <w:t>predominant</w:t>
      </w:r>
      <w:r>
        <w:rPr>
          <w:rFonts w:ascii="Times New Roman" w:eastAsia="Calibri" w:hAnsi="Times New Roman" w:cs="Times New Roman"/>
          <w:sz w:val="24"/>
          <w:szCs w:val="24"/>
          <w:lang w:val="en-GB"/>
        </w:rPr>
        <w:t xml:space="preserve"> (</w:t>
      </w:r>
      <w:r w:rsidRPr="00C764B4">
        <w:rPr>
          <w:rFonts w:ascii="Times New Roman" w:eastAsia="Calibri" w:hAnsi="Times New Roman" w:cs="Times New Roman"/>
          <w:sz w:val="24"/>
          <w:szCs w:val="24"/>
          <w:lang w:val="en-GB"/>
        </w:rPr>
        <w:t>Table 3</w:t>
      </w:r>
      <w:r>
        <w:rPr>
          <w:rFonts w:ascii="Times New Roman" w:eastAsia="Calibri" w:hAnsi="Times New Roman" w:cs="Times New Roman"/>
          <w:sz w:val="24"/>
          <w:szCs w:val="24"/>
          <w:lang w:val="en-GB"/>
        </w:rPr>
        <w:t>)</w:t>
      </w:r>
      <w:r w:rsidR="00284A5D" w:rsidRPr="00284A5D">
        <w:rPr>
          <w:rFonts w:ascii="Times New Roman" w:eastAsia="Calibri" w:hAnsi="Times New Roman" w:cs="Times New Roman"/>
          <w:sz w:val="24"/>
          <w:szCs w:val="24"/>
          <w:lang w:val="en-GB"/>
        </w:rPr>
        <w:t xml:space="preserve">. </w:t>
      </w:r>
    </w:p>
    <w:p w14:paraId="4F24EC8C" w14:textId="77777777" w:rsidR="00846575" w:rsidRDefault="00846575" w:rsidP="00284A5D">
      <w:pPr>
        <w:shd w:val="clear" w:color="auto" w:fill="FFFFFF"/>
        <w:rPr>
          <w:rFonts w:ascii="Times New Roman" w:eastAsia="SimSun" w:hAnsi="Times New Roman" w:cs="Times New Roman"/>
          <w:color w:val="000000"/>
          <w:sz w:val="24"/>
          <w:szCs w:val="24"/>
          <w:lang w:eastAsia="en-GB"/>
        </w:rPr>
      </w:pPr>
    </w:p>
    <w:p w14:paraId="4CA8488A" w14:textId="3513AEC8" w:rsidR="00B30F49" w:rsidRPr="00B46107" w:rsidRDefault="00284A5D" w:rsidP="00284A5D">
      <w:pPr>
        <w:shd w:val="clear" w:color="auto" w:fill="FFFFFF"/>
        <w:rPr>
          <w:rFonts w:ascii="Times New Roman" w:eastAsia="SimSun" w:hAnsi="Times New Roman" w:cs="Times New Roman"/>
          <w:color w:val="000000"/>
          <w:sz w:val="24"/>
          <w:szCs w:val="24"/>
          <w:lang w:eastAsia="en-GB"/>
        </w:rPr>
      </w:pPr>
      <w:r w:rsidRPr="00B46107">
        <w:rPr>
          <w:rFonts w:ascii="Times New Roman" w:eastAsia="SimSun" w:hAnsi="Times New Roman" w:cs="Times New Roman"/>
          <w:color w:val="000000"/>
          <w:sz w:val="24"/>
          <w:szCs w:val="24"/>
          <w:lang w:eastAsia="en-GB"/>
        </w:rPr>
        <w:t>Table 3: Common diagnoses among adult medical admissions, stratified by sex (N = 1118)</w:t>
      </w:r>
      <w:r w:rsidR="00B30F49" w:rsidRPr="00B46107">
        <w:rPr>
          <w:rFonts w:ascii="Times New Roman" w:eastAsia="SimSun" w:hAnsi="Times New Roman" w:cs="Times New Roman"/>
          <w:color w:val="000000"/>
          <w:sz w:val="24"/>
          <w:szCs w:val="24"/>
          <w:lang w:eastAsia="en-GB"/>
        </w:rPr>
        <w:t>.</w:t>
      </w:r>
    </w:p>
    <w:tbl>
      <w:tblPr>
        <w:tblStyle w:val="PlainTable2"/>
        <w:tblW w:w="4948" w:type="pct"/>
        <w:tblBorders>
          <w:top w:val="none" w:sz="0" w:space="0" w:color="auto"/>
          <w:bottom w:val="none" w:sz="0" w:space="0" w:color="auto"/>
        </w:tblBorders>
        <w:tblLook w:val="04A0" w:firstRow="1" w:lastRow="0" w:firstColumn="1" w:lastColumn="0" w:noHBand="0" w:noVBand="1"/>
      </w:tblPr>
      <w:tblGrid>
        <w:gridCol w:w="4531"/>
        <w:gridCol w:w="1533"/>
        <w:gridCol w:w="1655"/>
        <w:gridCol w:w="1447"/>
        <w:gridCol w:w="1023"/>
      </w:tblGrid>
      <w:tr w:rsidR="00284A5D" w:rsidRPr="00284A5D" w14:paraId="1908CA56" w14:textId="77777777" w:rsidTr="00DD40B5">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223" w:type="pct"/>
            <w:tcBorders>
              <w:top w:val="single" w:sz="4" w:space="0" w:color="auto"/>
            </w:tcBorders>
            <w:noWrap/>
            <w:hideMark/>
          </w:tcPr>
          <w:p w14:paraId="38B804AE" w14:textId="77777777" w:rsidR="00284A5D" w:rsidRPr="00284A5D" w:rsidRDefault="00284A5D" w:rsidP="00DD40B5">
            <w:pPr>
              <w:shd w:val="clear" w:color="auto" w:fill="FFFFFF"/>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Disease</w:t>
            </w:r>
          </w:p>
        </w:tc>
        <w:tc>
          <w:tcPr>
            <w:tcW w:w="752" w:type="pct"/>
            <w:tcBorders>
              <w:top w:val="single" w:sz="4" w:space="0" w:color="auto"/>
            </w:tcBorders>
            <w:noWrap/>
            <w:hideMark/>
          </w:tcPr>
          <w:p w14:paraId="1C773C6D" w14:textId="03218525" w:rsidR="00284A5D" w:rsidRPr="00284A5D" w:rsidRDefault="00284A5D" w:rsidP="00DD40B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Male</w:t>
            </w:r>
            <w:r w:rsidR="00DD40B5">
              <w:rPr>
                <w:rFonts w:ascii="Times New Roman" w:hAnsi="Times New Roman" w:cs="Times New Roman"/>
                <w:color w:val="000000"/>
                <w:lang w:val="en-GB" w:eastAsia="en-GB"/>
              </w:rPr>
              <w:t xml:space="preserve"> </w:t>
            </w:r>
            <w:r w:rsidRPr="00284A5D">
              <w:rPr>
                <w:rFonts w:ascii="Times New Roman" w:hAnsi="Times New Roman" w:cs="Times New Roman"/>
                <w:color w:val="000000"/>
                <w:lang w:val="en-GB" w:eastAsia="en-GB"/>
              </w:rPr>
              <w:t>n (%)</w:t>
            </w:r>
          </w:p>
        </w:tc>
        <w:tc>
          <w:tcPr>
            <w:tcW w:w="812" w:type="pct"/>
            <w:tcBorders>
              <w:top w:val="single" w:sz="4" w:space="0" w:color="auto"/>
            </w:tcBorders>
            <w:noWrap/>
            <w:hideMark/>
          </w:tcPr>
          <w:p w14:paraId="6B62CE79" w14:textId="143C6AEC" w:rsidR="00284A5D" w:rsidRPr="00284A5D" w:rsidRDefault="00284A5D" w:rsidP="00DD40B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Female</w:t>
            </w:r>
            <w:r w:rsidR="00DD40B5">
              <w:rPr>
                <w:rFonts w:ascii="Times New Roman" w:hAnsi="Times New Roman" w:cs="Times New Roman"/>
                <w:color w:val="000000"/>
                <w:lang w:val="en-GB" w:eastAsia="en-GB"/>
              </w:rPr>
              <w:t xml:space="preserve"> </w:t>
            </w:r>
            <w:r w:rsidRPr="00284A5D">
              <w:rPr>
                <w:rFonts w:ascii="Times New Roman" w:hAnsi="Times New Roman" w:cs="Times New Roman"/>
                <w:color w:val="000000"/>
                <w:lang w:val="en-GB" w:eastAsia="en-GB"/>
              </w:rPr>
              <w:t>n (%)</w:t>
            </w:r>
          </w:p>
        </w:tc>
        <w:tc>
          <w:tcPr>
            <w:tcW w:w="710" w:type="pct"/>
            <w:tcBorders>
              <w:top w:val="single" w:sz="4" w:space="0" w:color="auto"/>
            </w:tcBorders>
            <w:noWrap/>
            <w:hideMark/>
          </w:tcPr>
          <w:p w14:paraId="080CBABF" w14:textId="316C142C" w:rsidR="00284A5D" w:rsidRPr="00284A5D" w:rsidRDefault="00284A5D" w:rsidP="00DD40B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Total</w:t>
            </w:r>
            <w:r w:rsidR="00DD40B5">
              <w:rPr>
                <w:rFonts w:ascii="Times New Roman" w:hAnsi="Times New Roman" w:cs="Times New Roman"/>
                <w:color w:val="000000"/>
                <w:lang w:val="en-GB" w:eastAsia="en-GB"/>
              </w:rPr>
              <w:t xml:space="preserve"> </w:t>
            </w:r>
            <w:r w:rsidRPr="00284A5D">
              <w:rPr>
                <w:rFonts w:ascii="Times New Roman" w:hAnsi="Times New Roman" w:cs="Times New Roman"/>
                <w:color w:val="000000"/>
                <w:lang w:val="en-GB" w:eastAsia="en-GB"/>
              </w:rPr>
              <w:t>n (%)</w:t>
            </w:r>
          </w:p>
        </w:tc>
        <w:tc>
          <w:tcPr>
            <w:tcW w:w="502" w:type="pct"/>
            <w:tcBorders>
              <w:top w:val="single" w:sz="4" w:space="0" w:color="auto"/>
            </w:tcBorders>
          </w:tcPr>
          <w:p w14:paraId="1AA3CD54" w14:textId="77777777" w:rsidR="00284A5D" w:rsidRPr="00284A5D" w:rsidRDefault="00284A5D" w:rsidP="00DD40B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P-value</w:t>
            </w:r>
          </w:p>
        </w:tc>
      </w:tr>
      <w:tr w:rsidR="00284A5D" w:rsidRPr="00284A5D" w14:paraId="2F3C805E" w14:textId="77777777" w:rsidTr="00284A5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01470F47"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Congestive heart failure</w:t>
            </w:r>
          </w:p>
        </w:tc>
        <w:tc>
          <w:tcPr>
            <w:tcW w:w="752" w:type="pct"/>
            <w:tcBorders>
              <w:top w:val="none" w:sz="0" w:space="0" w:color="auto"/>
              <w:bottom w:val="none" w:sz="0" w:space="0" w:color="auto"/>
            </w:tcBorders>
            <w:noWrap/>
            <w:hideMark/>
          </w:tcPr>
          <w:p w14:paraId="1E21B597"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40 (45.9%)</w:t>
            </w:r>
          </w:p>
        </w:tc>
        <w:tc>
          <w:tcPr>
            <w:tcW w:w="812" w:type="pct"/>
            <w:tcBorders>
              <w:top w:val="none" w:sz="0" w:space="0" w:color="auto"/>
              <w:bottom w:val="none" w:sz="0" w:space="0" w:color="auto"/>
            </w:tcBorders>
            <w:noWrap/>
            <w:hideMark/>
          </w:tcPr>
          <w:p w14:paraId="0E402E70"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47(54%)</w:t>
            </w:r>
          </w:p>
        </w:tc>
        <w:tc>
          <w:tcPr>
            <w:tcW w:w="710" w:type="pct"/>
            <w:tcBorders>
              <w:top w:val="none" w:sz="0" w:space="0" w:color="auto"/>
              <w:bottom w:val="none" w:sz="0" w:space="0" w:color="auto"/>
            </w:tcBorders>
            <w:noWrap/>
            <w:hideMark/>
          </w:tcPr>
          <w:p w14:paraId="4F422FBA"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87(7.8%)</w:t>
            </w:r>
          </w:p>
        </w:tc>
        <w:tc>
          <w:tcPr>
            <w:tcW w:w="502" w:type="pct"/>
            <w:tcBorders>
              <w:top w:val="none" w:sz="0" w:space="0" w:color="auto"/>
              <w:bottom w:val="none" w:sz="0" w:space="0" w:color="auto"/>
            </w:tcBorders>
          </w:tcPr>
          <w:p w14:paraId="392DDB22"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0.180</w:t>
            </w:r>
          </w:p>
        </w:tc>
      </w:tr>
      <w:tr w:rsidR="00284A5D" w:rsidRPr="00284A5D" w14:paraId="52443455"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3F1567E5"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Acute kidney failure</w:t>
            </w:r>
          </w:p>
        </w:tc>
        <w:tc>
          <w:tcPr>
            <w:tcW w:w="752" w:type="pct"/>
            <w:noWrap/>
            <w:hideMark/>
          </w:tcPr>
          <w:p w14:paraId="333F9C8D"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45(56.3%)</w:t>
            </w:r>
          </w:p>
        </w:tc>
        <w:tc>
          <w:tcPr>
            <w:tcW w:w="812" w:type="pct"/>
            <w:noWrap/>
            <w:hideMark/>
          </w:tcPr>
          <w:p w14:paraId="2A659754"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35(45.9%)</w:t>
            </w:r>
          </w:p>
        </w:tc>
        <w:tc>
          <w:tcPr>
            <w:tcW w:w="710" w:type="pct"/>
            <w:noWrap/>
            <w:hideMark/>
          </w:tcPr>
          <w:p w14:paraId="166B3DA5"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80 (7.2%)</w:t>
            </w:r>
          </w:p>
        </w:tc>
        <w:tc>
          <w:tcPr>
            <w:tcW w:w="502" w:type="pct"/>
          </w:tcPr>
          <w:p w14:paraId="2B28AB66"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0.328</w:t>
            </w:r>
          </w:p>
        </w:tc>
      </w:tr>
      <w:tr w:rsidR="00284A5D" w:rsidRPr="00284A5D" w14:paraId="4A9DF56A" w14:textId="77777777" w:rsidTr="00284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1D987746" w14:textId="19B0689D"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Tuberculosis of another specified organ or site</w:t>
            </w:r>
          </w:p>
        </w:tc>
        <w:tc>
          <w:tcPr>
            <w:tcW w:w="752" w:type="pct"/>
            <w:tcBorders>
              <w:top w:val="none" w:sz="0" w:space="0" w:color="auto"/>
              <w:bottom w:val="none" w:sz="0" w:space="0" w:color="auto"/>
            </w:tcBorders>
            <w:noWrap/>
            <w:hideMark/>
          </w:tcPr>
          <w:p w14:paraId="7D247C76"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34(42.5%)</w:t>
            </w:r>
          </w:p>
        </w:tc>
        <w:tc>
          <w:tcPr>
            <w:tcW w:w="812" w:type="pct"/>
            <w:tcBorders>
              <w:top w:val="none" w:sz="0" w:space="0" w:color="auto"/>
              <w:bottom w:val="none" w:sz="0" w:space="0" w:color="auto"/>
            </w:tcBorders>
            <w:noWrap/>
            <w:hideMark/>
          </w:tcPr>
          <w:p w14:paraId="7BC7B85E"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46(57.5%)</w:t>
            </w:r>
          </w:p>
        </w:tc>
        <w:tc>
          <w:tcPr>
            <w:tcW w:w="710" w:type="pct"/>
            <w:tcBorders>
              <w:top w:val="none" w:sz="0" w:space="0" w:color="auto"/>
              <w:bottom w:val="none" w:sz="0" w:space="0" w:color="auto"/>
            </w:tcBorders>
            <w:noWrap/>
            <w:hideMark/>
          </w:tcPr>
          <w:p w14:paraId="37F8F7F1"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80 (7.2%)</w:t>
            </w:r>
          </w:p>
        </w:tc>
        <w:tc>
          <w:tcPr>
            <w:tcW w:w="502" w:type="pct"/>
            <w:tcBorders>
              <w:top w:val="none" w:sz="0" w:space="0" w:color="auto"/>
              <w:bottom w:val="none" w:sz="0" w:space="0" w:color="auto"/>
            </w:tcBorders>
          </w:tcPr>
          <w:p w14:paraId="654CB3E3"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0.036*</w:t>
            </w:r>
          </w:p>
        </w:tc>
      </w:tr>
      <w:tr w:rsidR="00284A5D" w:rsidRPr="00284A5D" w14:paraId="67812E12"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28DCB734"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Transient ischaemic attack</w:t>
            </w:r>
          </w:p>
        </w:tc>
        <w:tc>
          <w:tcPr>
            <w:tcW w:w="752" w:type="pct"/>
            <w:noWrap/>
            <w:hideMark/>
          </w:tcPr>
          <w:p w14:paraId="366D1B9C"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44(55.7%)</w:t>
            </w:r>
          </w:p>
        </w:tc>
        <w:tc>
          <w:tcPr>
            <w:tcW w:w="812" w:type="pct"/>
            <w:noWrap/>
            <w:hideMark/>
          </w:tcPr>
          <w:p w14:paraId="12C901B9"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35(44.3%)</w:t>
            </w:r>
          </w:p>
        </w:tc>
        <w:tc>
          <w:tcPr>
            <w:tcW w:w="710" w:type="pct"/>
            <w:noWrap/>
            <w:hideMark/>
          </w:tcPr>
          <w:p w14:paraId="4453C5B6"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79(7.1%)</w:t>
            </w:r>
          </w:p>
        </w:tc>
        <w:tc>
          <w:tcPr>
            <w:tcW w:w="502" w:type="pct"/>
          </w:tcPr>
          <w:p w14:paraId="5CD4B719"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0.355</w:t>
            </w:r>
          </w:p>
        </w:tc>
      </w:tr>
      <w:tr w:rsidR="00284A5D" w:rsidRPr="00284A5D" w14:paraId="5C83B032" w14:textId="77777777" w:rsidTr="00284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61D14945"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Deep vein thrombosis</w:t>
            </w:r>
          </w:p>
        </w:tc>
        <w:tc>
          <w:tcPr>
            <w:tcW w:w="752" w:type="pct"/>
            <w:tcBorders>
              <w:top w:val="none" w:sz="0" w:space="0" w:color="auto"/>
              <w:bottom w:val="none" w:sz="0" w:space="0" w:color="auto"/>
            </w:tcBorders>
            <w:noWrap/>
            <w:hideMark/>
          </w:tcPr>
          <w:p w14:paraId="34F4C903"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24(42.1%)</w:t>
            </w:r>
          </w:p>
        </w:tc>
        <w:tc>
          <w:tcPr>
            <w:tcW w:w="812" w:type="pct"/>
            <w:tcBorders>
              <w:top w:val="none" w:sz="0" w:space="0" w:color="auto"/>
              <w:bottom w:val="none" w:sz="0" w:space="0" w:color="auto"/>
            </w:tcBorders>
            <w:noWrap/>
            <w:hideMark/>
          </w:tcPr>
          <w:p w14:paraId="2DD055FA"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33(57.9%)</w:t>
            </w:r>
          </w:p>
        </w:tc>
        <w:tc>
          <w:tcPr>
            <w:tcW w:w="710" w:type="pct"/>
            <w:tcBorders>
              <w:top w:val="none" w:sz="0" w:space="0" w:color="auto"/>
              <w:bottom w:val="none" w:sz="0" w:space="0" w:color="auto"/>
            </w:tcBorders>
            <w:noWrap/>
            <w:hideMark/>
          </w:tcPr>
          <w:p w14:paraId="2C7F2227"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57(5.1%)</w:t>
            </w:r>
          </w:p>
        </w:tc>
        <w:tc>
          <w:tcPr>
            <w:tcW w:w="502" w:type="pct"/>
            <w:tcBorders>
              <w:top w:val="none" w:sz="0" w:space="0" w:color="auto"/>
              <w:bottom w:val="none" w:sz="0" w:space="0" w:color="auto"/>
            </w:tcBorders>
          </w:tcPr>
          <w:p w14:paraId="244DECD7"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0.066</w:t>
            </w:r>
          </w:p>
        </w:tc>
      </w:tr>
      <w:tr w:rsidR="00284A5D" w:rsidRPr="00284A5D" w14:paraId="4392C78F"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430B61EE"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Intracranial haemorrhage, unspecified</w:t>
            </w:r>
          </w:p>
        </w:tc>
        <w:tc>
          <w:tcPr>
            <w:tcW w:w="752" w:type="pct"/>
            <w:noWrap/>
            <w:hideMark/>
          </w:tcPr>
          <w:p w14:paraId="26B8B34A"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30(53.6%)</w:t>
            </w:r>
          </w:p>
        </w:tc>
        <w:tc>
          <w:tcPr>
            <w:tcW w:w="812" w:type="pct"/>
            <w:noWrap/>
            <w:hideMark/>
          </w:tcPr>
          <w:p w14:paraId="16C2F0D5"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26(46.4%)</w:t>
            </w:r>
          </w:p>
        </w:tc>
        <w:tc>
          <w:tcPr>
            <w:tcW w:w="710" w:type="pct"/>
            <w:noWrap/>
            <w:hideMark/>
          </w:tcPr>
          <w:p w14:paraId="4F9DD1C7"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56(5%)</w:t>
            </w:r>
          </w:p>
        </w:tc>
        <w:tc>
          <w:tcPr>
            <w:tcW w:w="502" w:type="pct"/>
          </w:tcPr>
          <w:p w14:paraId="7485942F"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0.674</w:t>
            </w:r>
          </w:p>
        </w:tc>
      </w:tr>
      <w:tr w:rsidR="00284A5D" w:rsidRPr="00284A5D" w14:paraId="40FBB091" w14:textId="77777777" w:rsidTr="00284A5D">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70FE95C8"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Other specified diseases of the nervous system</w:t>
            </w:r>
          </w:p>
        </w:tc>
        <w:tc>
          <w:tcPr>
            <w:tcW w:w="752" w:type="pct"/>
            <w:tcBorders>
              <w:top w:val="none" w:sz="0" w:space="0" w:color="auto"/>
              <w:bottom w:val="none" w:sz="0" w:space="0" w:color="auto"/>
            </w:tcBorders>
            <w:noWrap/>
            <w:hideMark/>
          </w:tcPr>
          <w:p w14:paraId="71C51BE1"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22(44%)</w:t>
            </w:r>
          </w:p>
        </w:tc>
        <w:tc>
          <w:tcPr>
            <w:tcW w:w="812" w:type="pct"/>
            <w:tcBorders>
              <w:top w:val="none" w:sz="0" w:space="0" w:color="auto"/>
              <w:bottom w:val="none" w:sz="0" w:space="0" w:color="auto"/>
            </w:tcBorders>
            <w:noWrap/>
            <w:hideMark/>
          </w:tcPr>
          <w:p w14:paraId="31CB7B41"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28(56%)</w:t>
            </w:r>
          </w:p>
        </w:tc>
        <w:tc>
          <w:tcPr>
            <w:tcW w:w="710" w:type="pct"/>
            <w:tcBorders>
              <w:top w:val="none" w:sz="0" w:space="0" w:color="auto"/>
              <w:bottom w:val="none" w:sz="0" w:space="0" w:color="auto"/>
            </w:tcBorders>
            <w:noWrap/>
            <w:hideMark/>
          </w:tcPr>
          <w:p w14:paraId="66443178"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50(4.4%)</w:t>
            </w:r>
          </w:p>
        </w:tc>
        <w:tc>
          <w:tcPr>
            <w:tcW w:w="502" w:type="pct"/>
            <w:tcBorders>
              <w:top w:val="none" w:sz="0" w:space="0" w:color="auto"/>
              <w:bottom w:val="none" w:sz="0" w:space="0" w:color="auto"/>
            </w:tcBorders>
          </w:tcPr>
          <w:p w14:paraId="612AC606"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0.346</w:t>
            </w:r>
          </w:p>
        </w:tc>
      </w:tr>
      <w:tr w:rsidR="00284A5D" w:rsidRPr="00284A5D" w14:paraId="3F259BFC"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12B18318"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Chronic liver disease</w:t>
            </w:r>
          </w:p>
        </w:tc>
        <w:tc>
          <w:tcPr>
            <w:tcW w:w="752" w:type="pct"/>
            <w:noWrap/>
            <w:hideMark/>
          </w:tcPr>
          <w:p w14:paraId="3EFEF015"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30(65.2%)</w:t>
            </w:r>
          </w:p>
        </w:tc>
        <w:tc>
          <w:tcPr>
            <w:tcW w:w="812" w:type="pct"/>
            <w:noWrap/>
            <w:hideMark/>
          </w:tcPr>
          <w:p w14:paraId="554D3097"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16(34.8%)</w:t>
            </w:r>
          </w:p>
        </w:tc>
        <w:tc>
          <w:tcPr>
            <w:tcW w:w="710" w:type="pct"/>
            <w:noWrap/>
            <w:hideMark/>
          </w:tcPr>
          <w:p w14:paraId="0D4DFE54"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46(4.1%)</w:t>
            </w:r>
          </w:p>
        </w:tc>
        <w:tc>
          <w:tcPr>
            <w:tcW w:w="502" w:type="pct"/>
          </w:tcPr>
          <w:p w14:paraId="04229E75"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0.011*</w:t>
            </w:r>
          </w:p>
        </w:tc>
      </w:tr>
      <w:tr w:rsidR="00284A5D" w:rsidRPr="00284A5D" w14:paraId="1F06BD67" w14:textId="77777777" w:rsidTr="00284A5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20DDF634"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Intracerebral haemorrhage</w:t>
            </w:r>
          </w:p>
        </w:tc>
        <w:tc>
          <w:tcPr>
            <w:tcW w:w="752" w:type="pct"/>
            <w:tcBorders>
              <w:top w:val="none" w:sz="0" w:space="0" w:color="auto"/>
              <w:bottom w:val="none" w:sz="0" w:space="0" w:color="auto"/>
            </w:tcBorders>
            <w:noWrap/>
            <w:hideMark/>
          </w:tcPr>
          <w:p w14:paraId="7E3AF2B1"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31(73.8%)</w:t>
            </w:r>
          </w:p>
        </w:tc>
        <w:tc>
          <w:tcPr>
            <w:tcW w:w="812" w:type="pct"/>
            <w:tcBorders>
              <w:top w:val="none" w:sz="0" w:space="0" w:color="auto"/>
              <w:bottom w:val="none" w:sz="0" w:space="0" w:color="auto"/>
            </w:tcBorders>
            <w:noWrap/>
            <w:hideMark/>
          </w:tcPr>
          <w:p w14:paraId="367D6D48"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11(26.2%)</w:t>
            </w:r>
          </w:p>
        </w:tc>
        <w:tc>
          <w:tcPr>
            <w:tcW w:w="710" w:type="pct"/>
            <w:tcBorders>
              <w:top w:val="none" w:sz="0" w:space="0" w:color="auto"/>
              <w:bottom w:val="none" w:sz="0" w:space="0" w:color="auto"/>
            </w:tcBorders>
            <w:noWrap/>
            <w:hideMark/>
          </w:tcPr>
          <w:p w14:paraId="04D63C1A"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42(3.8%)</w:t>
            </w:r>
          </w:p>
        </w:tc>
        <w:tc>
          <w:tcPr>
            <w:tcW w:w="502" w:type="pct"/>
            <w:tcBorders>
              <w:top w:val="none" w:sz="0" w:space="0" w:color="auto"/>
              <w:bottom w:val="none" w:sz="0" w:space="0" w:color="auto"/>
            </w:tcBorders>
          </w:tcPr>
          <w:p w14:paraId="29CC55DD"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0.001*</w:t>
            </w:r>
          </w:p>
        </w:tc>
      </w:tr>
      <w:tr w:rsidR="00284A5D" w:rsidRPr="00284A5D" w14:paraId="0A1A36E1"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609CE225"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Bacterial meningitis</w:t>
            </w:r>
          </w:p>
        </w:tc>
        <w:tc>
          <w:tcPr>
            <w:tcW w:w="752" w:type="pct"/>
            <w:noWrap/>
            <w:hideMark/>
          </w:tcPr>
          <w:p w14:paraId="7D9C9B73"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23(60.3%)</w:t>
            </w:r>
          </w:p>
        </w:tc>
        <w:tc>
          <w:tcPr>
            <w:tcW w:w="812" w:type="pct"/>
            <w:noWrap/>
            <w:hideMark/>
          </w:tcPr>
          <w:p w14:paraId="7C048E33"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15(39.5%)</w:t>
            </w:r>
          </w:p>
        </w:tc>
        <w:tc>
          <w:tcPr>
            <w:tcW w:w="710" w:type="pct"/>
            <w:noWrap/>
            <w:hideMark/>
          </w:tcPr>
          <w:p w14:paraId="55D02B71"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38(2.9%)</w:t>
            </w:r>
          </w:p>
        </w:tc>
        <w:tc>
          <w:tcPr>
            <w:tcW w:w="502" w:type="pct"/>
          </w:tcPr>
          <w:p w14:paraId="2E1F8410"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0.228</w:t>
            </w:r>
          </w:p>
        </w:tc>
      </w:tr>
      <w:tr w:rsidR="00284A5D" w:rsidRPr="00284A5D" w14:paraId="76E25407" w14:textId="77777777" w:rsidTr="00284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2AB7F9C8"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Tuberculous meningitis</w:t>
            </w:r>
          </w:p>
        </w:tc>
        <w:tc>
          <w:tcPr>
            <w:tcW w:w="752" w:type="pct"/>
            <w:tcBorders>
              <w:top w:val="none" w:sz="0" w:space="0" w:color="auto"/>
              <w:bottom w:val="none" w:sz="0" w:space="0" w:color="auto"/>
            </w:tcBorders>
            <w:noWrap/>
            <w:hideMark/>
          </w:tcPr>
          <w:p w14:paraId="6EF62F4A"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23(69.7%)</w:t>
            </w:r>
          </w:p>
        </w:tc>
        <w:tc>
          <w:tcPr>
            <w:tcW w:w="812" w:type="pct"/>
            <w:tcBorders>
              <w:top w:val="none" w:sz="0" w:space="0" w:color="auto"/>
              <w:bottom w:val="none" w:sz="0" w:space="0" w:color="auto"/>
            </w:tcBorders>
            <w:noWrap/>
            <w:hideMark/>
          </w:tcPr>
          <w:p w14:paraId="75812E94"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10(30.3%)</w:t>
            </w:r>
          </w:p>
        </w:tc>
        <w:tc>
          <w:tcPr>
            <w:tcW w:w="710" w:type="pct"/>
            <w:tcBorders>
              <w:top w:val="none" w:sz="0" w:space="0" w:color="auto"/>
              <w:bottom w:val="none" w:sz="0" w:space="0" w:color="auto"/>
            </w:tcBorders>
            <w:noWrap/>
            <w:hideMark/>
          </w:tcPr>
          <w:p w14:paraId="77E4D7FA"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33(2.9%)</w:t>
            </w:r>
          </w:p>
        </w:tc>
        <w:tc>
          <w:tcPr>
            <w:tcW w:w="502" w:type="pct"/>
            <w:tcBorders>
              <w:top w:val="none" w:sz="0" w:space="0" w:color="auto"/>
              <w:bottom w:val="none" w:sz="0" w:space="0" w:color="auto"/>
            </w:tcBorders>
          </w:tcPr>
          <w:p w14:paraId="213E8789"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0.013*</w:t>
            </w:r>
          </w:p>
        </w:tc>
      </w:tr>
      <w:tr w:rsidR="00284A5D" w:rsidRPr="00284A5D" w14:paraId="57E5DF8E" w14:textId="77777777" w:rsidTr="00284A5D">
        <w:trPr>
          <w:trHeight w:val="300"/>
        </w:trPr>
        <w:tc>
          <w:tcPr>
            <w:cnfStyle w:val="001000000000" w:firstRow="0" w:lastRow="0" w:firstColumn="1" w:lastColumn="0" w:oddVBand="0" w:evenVBand="0" w:oddHBand="0" w:evenHBand="0" w:firstRowFirstColumn="0" w:firstRowLastColumn="0" w:lastRowFirstColumn="0" w:lastRowLastColumn="0"/>
            <w:tcW w:w="2223" w:type="pct"/>
            <w:noWrap/>
            <w:hideMark/>
          </w:tcPr>
          <w:p w14:paraId="63BE98C3"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Respiratory tuberculosis, confirmed</w:t>
            </w:r>
          </w:p>
        </w:tc>
        <w:tc>
          <w:tcPr>
            <w:tcW w:w="752" w:type="pct"/>
            <w:noWrap/>
            <w:hideMark/>
          </w:tcPr>
          <w:p w14:paraId="21F7535F"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16(66.7%)</w:t>
            </w:r>
          </w:p>
        </w:tc>
        <w:tc>
          <w:tcPr>
            <w:tcW w:w="812" w:type="pct"/>
            <w:noWrap/>
            <w:hideMark/>
          </w:tcPr>
          <w:p w14:paraId="284637E2"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8(33.3%)</w:t>
            </w:r>
          </w:p>
        </w:tc>
        <w:tc>
          <w:tcPr>
            <w:tcW w:w="710" w:type="pct"/>
            <w:noWrap/>
            <w:hideMark/>
          </w:tcPr>
          <w:p w14:paraId="28DAA0CF"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24(2.1%)</w:t>
            </w:r>
          </w:p>
        </w:tc>
        <w:tc>
          <w:tcPr>
            <w:tcW w:w="502" w:type="pct"/>
          </w:tcPr>
          <w:p w14:paraId="6657F884"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0.118</w:t>
            </w:r>
          </w:p>
        </w:tc>
      </w:tr>
      <w:tr w:rsidR="00284A5D" w:rsidRPr="00284A5D" w14:paraId="03886AEC" w14:textId="77777777" w:rsidTr="00284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28BE313D"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Bell palsy</w:t>
            </w:r>
          </w:p>
        </w:tc>
        <w:tc>
          <w:tcPr>
            <w:tcW w:w="752" w:type="pct"/>
            <w:tcBorders>
              <w:top w:val="none" w:sz="0" w:space="0" w:color="auto"/>
              <w:bottom w:val="none" w:sz="0" w:space="0" w:color="auto"/>
            </w:tcBorders>
            <w:noWrap/>
            <w:hideMark/>
          </w:tcPr>
          <w:p w14:paraId="2373C528"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14(63.6%)</w:t>
            </w:r>
          </w:p>
        </w:tc>
        <w:tc>
          <w:tcPr>
            <w:tcW w:w="812" w:type="pct"/>
            <w:tcBorders>
              <w:top w:val="none" w:sz="0" w:space="0" w:color="auto"/>
              <w:bottom w:val="none" w:sz="0" w:space="0" w:color="auto"/>
            </w:tcBorders>
            <w:noWrap/>
            <w:hideMark/>
          </w:tcPr>
          <w:p w14:paraId="2B5F5AC3"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8(36.3%)</w:t>
            </w:r>
          </w:p>
        </w:tc>
        <w:tc>
          <w:tcPr>
            <w:tcW w:w="710" w:type="pct"/>
            <w:tcBorders>
              <w:top w:val="none" w:sz="0" w:space="0" w:color="auto"/>
              <w:bottom w:val="none" w:sz="0" w:space="0" w:color="auto"/>
            </w:tcBorders>
            <w:noWrap/>
            <w:hideMark/>
          </w:tcPr>
          <w:p w14:paraId="0429AC68"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22(1.9%)</w:t>
            </w:r>
          </w:p>
        </w:tc>
        <w:tc>
          <w:tcPr>
            <w:tcW w:w="502" w:type="pct"/>
            <w:tcBorders>
              <w:top w:val="none" w:sz="0" w:space="0" w:color="auto"/>
              <w:bottom w:val="none" w:sz="0" w:space="0" w:color="auto"/>
            </w:tcBorders>
          </w:tcPr>
          <w:p w14:paraId="4DC7C2C9"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0.222</w:t>
            </w:r>
          </w:p>
        </w:tc>
      </w:tr>
      <w:tr w:rsidR="00284A5D" w:rsidRPr="00284A5D" w14:paraId="672D6F5B" w14:textId="77777777" w:rsidTr="00284A5D">
        <w:trPr>
          <w:trHeight w:val="125"/>
        </w:trPr>
        <w:tc>
          <w:tcPr>
            <w:cnfStyle w:val="001000000000" w:firstRow="0" w:lastRow="0" w:firstColumn="1" w:lastColumn="0" w:oddVBand="0" w:evenVBand="0" w:oddHBand="0" w:evenHBand="0" w:firstRowFirstColumn="0" w:firstRowLastColumn="0" w:lastRowFirstColumn="0" w:lastRowLastColumn="0"/>
            <w:tcW w:w="2223" w:type="pct"/>
            <w:noWrap/>
            <w:hideMark/>
          </w:tcPr>
          <w:p w14:paraId="237A814E"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Subarachnoid haemorrhage</w:t>
            </w:r>
          </w:p>
        </w:tc>
        <w:tc>
          <w:tcPr>
            <w:tcW w:w="752" w:type="pct"/>
            <w:noWrap/>
            <w:hideMark/>
          </w:tcPr>
          <w:p w14:paraId="2DBF4F33"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8(40%)</w:t>
            </w:r>
          </w:p>
        </w:tc>
        <w:tc>
          <w:tcPr>
            <w:tcW w:w="812" w:type="pct"/>
            <w:noWrap/>
            <w:hideMark/>
          </w:tcPr>
          <w:p w14:paraId="1F4E2468"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12(60%)</w:t>
            </w:r>
          </w:p>
        </w:tc>
        <w:tc>
          <w:tcPr>
            <w:tcW w:w="710" w:type="pct"/>
            <w:noWrap/>
            <w:hideMark/>
          </w:tcPr>
          <w:p w14:paraId="13D76B32"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20(1.8%)</w:t>
            </w:r>
          </w:p>
        </w:tc>
        <w:tc>
          <w:tcPr>
            <w:tcW w:w="502" w:type="pct"/>
          </w:tcPr>
          <w:p w14:paraId="4A382698"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0.325</w:t>
            </w:r>
          </w:p>
        </w:tc>
      </w:tr>
      <w:tr w:rsidR="00284A5D" w:rsidRPr="00284A5D" w14:paraId="3C9D1154" w14:textId="77777777" w:rsidTr="00284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pct"/>
            <w:tcBorders>
              <w:top w:val="none" w:sz="0" w:space="0" w:color="auto"/>
              <w:bottom w:val="none" w:sz="0" w:space="0" w:color="auto"/>
            </w:tcBorders>
            <w:noWrap/>
            <w:hideMark/>
          </w:tcPr>
          <w:p w14:paraId="5515E39A"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Chronic kidney disease</w:t>
            </w:r>
          </w:p>
        </w:tc>
        <w:tc>
          <w:tcPr>
            <w:tcW w:w="752" w:type="pct"/>
            <w:tcBorders>
              <w:top w:val="none" w:sz="0" w:space="0" w:color="auto"/>
              <w:bottom w:val="none" w:sz="0" w:space="0" w:color="auto"/>
            </w:tcBorders>
            <w:noWrap/>
            <w:hideMark/>
          </w:tcPr>
          <w:p w14:paraId="43C97A37"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14(70%)</w:t>
            </w:r>
          </w:p>
        </w:tc>
        <w:tc>
          <w:tcPr>
            <w:tcW w:w="812" w:type="pct"/>
            <w:tcBorders>
              <w:top w:val="none" w:sz="0" w:space="0" w:color="auto"/>
              <w:bottom w:val="none" w:sz="0" w:space="0" w:color="auto"/>
            </w:tcBorders>
            <w:noWrap/>
            <w:hideMark/>
          </w:tcPr>
          <w:p w14:paraId="23625FB5"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6(30%)</w:t>
            </w:r>
          </w:p>
        </w:tc>
        <w:tc>
          <w:tcPr>
            <w:tcW w:w="710" w:type="pct"/>
            <w:tcBorders>
              <w:top w:val="none" w:sz="0" w:space="0" w:color="auto"/>
              <w:bottom w:val="none" w:sz="0" w:space="0" w:color="auto"/>
            </w:tcBorders>
            <w:noWrap/>
            <w:hideMark/>
          </w:tcPr>
          <w:p w14:paraId="0FFE606C" w14:textId="77777777" w:rsidR="00284A5D" w:rsidRPr="00284A5D" w:rsidRDefault="00284A5D" w:rsidP="00284A5D">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20(1.8%)</w:t>
            </w:r>
          </w:p>
        </w:tc>
        <w:tc>
          <w:tcPr>
            <w:tcW w:w="502" w:type="pct"/>
            <w:tcBorders>
              <w:top w:val="none" w:sz="0" w:space="0" w:color="auto"/>
              <w:bottom w:val="none" w:sz="0" w:space="0" w:color="auto"/>
            </w:tcBorders>
          </w:tcPr>
          <w:p w14:paraId="2CC5D585" w14:textId="77777777" w:rsidR="00284A5D" w:rsidRPr="00284A5D" w:rsidRDefault="00284A5D" w:rsidP="00284A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0.064</w:t>
            </w:r>
          </w:p>
        </w:tc>
      </w:tr>
      <w:tr w:rsidR="00284A5D" w:rsidRPr="00284A5D" w14:paraId="1830A1A2" w14:textId="77777777" w:rsidTr="006765D7">
        <w:trPr>
          <w:trHeight w:val="80"/>
        </w:trPr>
        <w:tc>
          <w:tcPr>
            <w:cnfStyle w:val="001000000000" w:firstRow="0" w:lastRow="0" w:firstColumn="1" w:lastColumn="0" w:oddVBand="0" w:evenVBand="0" w:oddHBand="0" w:evenHBand="0" w:firstRowFirstColumn="0" w:firstRowLastColumn="0" w:lastRowFirstColumn="0" w:lastRowLastColumn="0"/>
            <w:tcW w:w="2223" w:type="pct"/>
            <w:tcBorders>
              <w:bottom w:val="single" w:sz="4" w:space="0" w:color="auto"/>
            </w:tcBorders>
            <w:noWrap/>
            <w:hideMark/>
          </w:tcPr>
          <w:p w14:paraId="70AE9E53" w14:textId="77777777" w:rsidR="00284A5D" w:rsidRPr="00284A5D" w:rsidRDefault="00284A5D" w:rsidP="00284A5D">
            <w:pPr>
              <w:shd w:val="clear" w:color="auto" w:fill="FFFFFF"/>
              <w:rPr>
                <w:rFonts w:ascii="Times New Roman" w:hAnsi="Times New Roman" w:cs="Times New Roman"/>
                <w:b w:val="0"/>
                <w:bCs w:val="0"/>
                <w:color w:val="000000"/>
                <w:lang w:val="en-GB" w:eastAsia="en-GB"/>
              </w:rPr>
            </w:pPr>
            <w:r w:rsidRPr="00284A5D">
              <w:rPr>
                <w:rFonts w:ascii="Times New Roman" w:hAnsi="Times New Roman" w:cs="Times New Roman"/>
                <w:b w:val="0"/>
                <w:bCs w:val="0"/>
                <w:color w:val="000000"/>
                <w:lang w:val="en-GB" w:eastAsia="en-GB"/>
              </w:rPr>
              <w:t>Other</w:t>
            </w:r>
          </w:p>
        </w:tc>
        <w:tc>
          <w:tcPr>
            <w:tcW w:w="752" w:type="pct"/>
            <w:tcBorders>
              <w:bottom w:val="single" w:sz="4" w:space="0" w:color="auto"/>
            </w:tcBorders>
            <w:noWrap/>
            <w:hideMark/>
          </w:tcPr>
          <w:p w14:paraId="75FCDC0C"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208(54.2%)</w:t>
            </w:r>
          </w:p>
        </w:tc>
        <w:tc>
          <w:tcPr>
            <w:tcW w:w="812" w:type="pct"/>
            <w:tcBorders>
              <w:bottom w:val="single" w:sz="4" w:space="0" w:color="auto"/>
            </w:tcBorders>
            <w:noWrap/>
            <w:hideMark/>
          </w:tcPr>
          <w:p w14:paraId="0092A8FB"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176(45.8%)</w:t>
            </w:r>
          </w:p>
        </w:tc>
        <w:tc>
          <w:tcPr>
            <w:tcW w:w="710" w:type="pct"/>
            <w:tcBorders>
              <w:bottom w:val="single" w:sz="4" w:space="0" w:color="auto"/>
            </w:tcBorders>
            <w:noWrap/>
            <w:hideMark/>
          </w:tcPr>
          <w:p w14:paraId="156958F6" w14:textId="77777777" w:rsidR="00284A5D" w:rsidRPr="00284A5D" w:rsidRDefault="00284A5D" w:rsidP="00284A5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eastAsia="en-GB"/>
              </w:rPr>
            </w:pPr>
            <w:r w:rsidRPr="00284A5D">
              <w:rPr>
                <w:rFonts w:ascii="Times New Roman" w:hAnsi="Times New Roman" w:cs="Times New Roman"/>
                <w:color w:val="000000"/>
                <w:lang w:val="en-GB" w:eastAsia="en-GB"/>
              </w:rPr>
              <w:t>384(34.3%)</w:t>
            </w:r>
          </w:p>
        </w:tc>
        <w:tc>
          <w:tcPr>
            <w:tcW w:w="502" w:type="pct"/>
            <w:tcBorders>
              <w:bottom w:val="single" w:sz="4" w:space="0" w:color="auto"/>
            </w:tcBorders>
          </w:tcPr>
          <w:p w14:paraId="05869C8E" w14:textId="77777777" w:rsidR="00284A5D" w:rsidRPr="00284A5D" w:rsidRDefault="00284A5D" w:rsidP="00284A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284A5D">
              <w:rPr>
                <w:rFonts w:ascii="Times New Roman" w:eastAsia="Calibri" w:hAnsi="Times New Roman" w:cs="Times New Roman"/>
                <w:lang w:val="en-GB"/>
              </w:rPr>
              <w:t>0.704</w:t>
            </w:r>
          </w:p>
        </w:tc>
      </w:tr>
    </w:tbl>
    <w:p w14:paraId="33F8BEAB" w14:textId="77777777" w:rsidR="00284A5D" w:rsidRDefault="00284A5D" w:rsidP="007C6AFB">
      <w:pPr>
        <w:spacing w:line="240" w:lineRule="auto"/>
        <w:rPr>
          <w:rFonts w:ascii="Times New Roman" w:eastAsia="Calibri" w:hAnsi="Times New Roman" w:cs="Times New Roman"/>
          <w:sz w:val="24"/>
          <w:szCs w:val="24"/>
          <w:lang w:val="en-GB"/>
        </w:rPr>
        <w:sectPr w:rsidR="00284A5D" w:rsidSect="00284A5D">
          <w:type w:val="continuous"/>
          <w:pgSz w:w="12240" w:h="15840"/>
          <w:pgMar w:top="1440" w:right="720" w:bottom="1440" w:left="1440" w:header="720" w:footer="720" w:gutter="0"/>
          <w:cols w:space="576"/>
          <w:docGrid w:linePitch="360"/>
        </w:sectPr>
      </w:pPr>
    </w:p>
    <w:p w14:paraId="76B6F290" w14:textId="567E03FC" w:rsidR="00284A5D" w:rsidRPr="00284A5D" w:rsidRDefault="008E4ADE" w:rsidP="007C6AFB">
      <w:pPr>
        <w:spacing w:line="240" w:lineRule="auto"/>
        <w:rPr>
          <w:rFonts w:ascii="Times New Roman" w:eastAsia="Calibri" w:hAnsi="Times New Roman" w:cs="Times New Roman"/>
          <w:sz w:val="24"/>
          <w:szCs w:val="24"/>
          <w:lang w:val="en-GB"/>
        </w:rPr>
      </w:pPr>
      <w:r w:rsidRPr="008E4ADE">
        <w:rPr>
          <w:rFonts w:ascii="Times New Roman" w:eastAsia="Calibri" w:hAnsi="Times New Roman" w:cs="Times New Roman"/>
          <w:sz w:val="24"/>
          <w:szCs w:val="24"/>
          <w:lang w:val="en-GB"/>
        </w:rPr>
        <w:t>Note: X2 15= 30.84, P&lt;0.009</w:t>
      </w:r>
    </w:p>
    <w:p w14:paraId="7FFB4A18" w14:textId="77777777" w:rsidR="00284A5D" w:rsidRDefault="00284A5D" w:rsidP="007C6AFB">
      <w:pPr>
        <w:spacing w:line="240" w:lineRule="auto"/>
        <w:rPr>
          <w:rFonts w:ascii="Times New Roman" w:hAnsi="Times New Roman" w:cs="Times New Roman"/>
        </w:rPr>
      </w:pPr>
    </w:p>
    <w:p w14:paraId="5C64B2B6" w14:textId="77777777" w:rsidR="004B6650" w:rsidRDefault="004B6650" w:rsidP="008E4ADE">
      <w:pPr>
        <w:spacing w:line="240" w:lineRule="auto"/>
        <w:rPr>
          <w:rFonts w:ascii="Times New Roman" w:hAnsi="Times New Roman" w:cs="Times New Roman"/>
          <w:sz w:val="24"/>
          <w:szCs w:val="24"/>
        </w:rPr>
      </w:pPr>
    </w:p>
    <w:p w14:paraId="4497968B" w14:textId="457407D5" w:rsidR="008E4ADE" w:rsidRPr="00E63842" w:rsidRDefault="00DF1E45" w:rsidP="008E4ADE">
      <w:pPr>
        <w:spacing w:line="240" w:lineRule="auto"/>
        <w:rPr>
          <w:rFonts w:ascii="Times New Roman" w:hAnsi="Times New Roman" w:cs="Times New Roman"/>
          <w:sz w:val="24"/>
          <w:szCs w:val="24"/>
        </w:rPr>
      </w:pPr>
      <w:r w:rsidRPr="00DF1E45">
        <w:rPr>
          <w:rFonts w:ascii="Times New Roman" w:hAnsi="Times New Roman" w:cs="Times New Roman"/>
          <w:sz w:val="24"/>
          <w:szCs w:val="24"/>
        </w:rPr>
        <w:t>The second predominant disease conditions are acute kidney failure and tuberculosis, with 7.2% each, and this affects the other specified organs, contributing to the current burden of NCDs and CDs at the study hospital.</w:t>
      </w:r>
      <w:r>
        <w:rPr>
          <w:rFonts w:ascii="Times New Roman" w:hAnsi="Times New Roman" w:cs="Times New Roman"/>
          <w:sz w:val="24"/>
          <w:szCs w:val="24"/>
        </w:rPr>
        <w:t xml:space="preserve"> </w:t>
      </w:r>
      <w:r w:rsidR="008E4ADE" w:rsidRPr="00E63842">
        <w:rPr>
          <w:rFonts w:ascii="Times New Roman" w:hAnsi="Times New Roman" w:cs="Times New Roman"/>
          <w:sz w:val="24"/>
          <w:szCs w:val="24"/>
        </w:rPr>
        <w:t xml:space="preserve">Neurological conditions were also predominant, as cases of transient </w:t>
      </w:r>
      <w:r w:rsidR="006765D7" w:rsidRPr="00E63842">
        <w:rPr>
          <w:rFonts w:ascii="Times New Roman" w:hAnsi="Times New Roman" w:cs="Times New Roman"/>
          <w:sz w:val="24"/>
          <w:szCs w:val="24"/>
        </w:rPr>
        <w:t>ischemic</w:t>
      </w:r>
      <w:r w:rsidR="008E4ADE" w:rsidRPr="00E63842">
        <w:rPr>
          <w:rFonts w:ascii="Times New Roman" w:hAnsi="Times New Roman" w:cs="Times New Roman"/>
          <w:sz w:val="24"/>
          <w:szCs w:val="24"/>
        </w:rPr>
        <w:t xml:space="preserve"> attack (7.1%), intracranial </w:t>
      </w:r>
      <w:r w:rsidR="006765D7" w:rsidRPr="00E63842">
        <w:rPr>
          <w:rFonts w:ascii="Times New Roman" w:hAnsi="Times New Roman" w:cs="Times New Roman"/>
          <w:sz w:val="24"/>
          <w:szCs w:val="24"/>
        </w:rPr>
        <w:t>hemorrhage</w:t>
      </w:r>
      <w:r w:rsidR="008E4ADE" w:rsidRPr="00E63842">
        <w:rPr>
          <w:rFonts w:ascii="Times New Roman" w:hAnsi="Times New Roman" w:cs="Times New Roman"/>
          <w:sz w:val="24"/>
          <w:szCs w:val="24"/>
        </w:rPr>
        <w:t xml:space="preserve"> (5.0%), and tuberculous meningitis (2.9%) were the most common. </w:t>
      </w:r>
    </w:p>
    <w:p w14:paraId="06772991" w14:textId="16DF433A" w:rsidR="008E4ADE" w:rsidRPr="00E63842" w:rsidRDefault="008E4ADE" w:rsidP="008E4ADE">
      <w:pPr>
        <w:spacing w:line="240" w:lineRule="auto"/>
        <w:rPr>
          <w:rFonts w:ascii="Times New Roman" w:hAnsi="Times New Roman" w:cs="Times New Roman"/>
          <w:sz w:val="24"/>
          <w:szCs w:val="24"/>
        </w:rPr>
      </w:pPr>
      <w:r w:rsidRPr="00E63842">
        <w:rPr>
          <w:rFonts w:ascii="Times New Roman" w:hAnsi="Times New Roman" w:cs="Times New Roman"/>
          <w:sz w:val="24"/>
          <w:szCs w:val="24"/>
        </w:rPr>
        <w:t xml:space="preserve">Other significant causes included deep vein thrombosis (5.1%), intracerebral </w:t>
      </w:r>
      <w:r w:rsidR="006765D7" w:rsidRPr="00E63842">
        <w:rPr>
          <w:rFonts w:ascii="Times New Roman" w:hAnsi="Times New Roman" w:cs="Times New Roman"/>
          <w:sz w:val="24"/>
          <w:szCs w:val="24"/>
        </w:rPr>
        <w:t>hemorrhage</w:t>
      </w:r>
      <w:r w:rsidRPr="00E63842">
        <w:rPr>
          <w:rFonts w:ascii="Times New Roman" w:hAnsi="Times New Roman" w:cs="Times New Roman"/>
          <w:sz w:val="24"/>
          <w:szCs w:val="24"/>
        </w:rPr>
        <w:t xml:space="preserve"> (3.8%), as well as chronic kidney disease (1.8%). Among the top 4 leading causes of patient admissions to the medical ward, males outnumbered females in the three categories except for the first ICD group, which includes infectious and parasitic diseases. </w:t>
      </w:r>
    </w:p>
    <w:p w14:paraId="3D3413E3" w14:textId="77777777" w:rsidR="00F83452" w:rsidRDefault="00F83452" w:rsidP="008E4ADE">
      <w:pPr>
        <w:spacing w:line="240" w:lineRule="auto"/>
        <w:rPr>
          <w:rFonts w:ascii="Times New Roman" w:hAnsi="Times New Roman" w:cs="Times New Roman"/>
          <w:sz w:val="24"/>
          <w:szCs w:val="24"/>
        </w:rPr>
      </w:pPr>
    </w:p>
    <w:p w14:paraId="248255B3" w14:textId="22437A01" w:rsidR="008E4ADE" w:rsidRPr="00E63842" w:rsidRDefault="008E4ADE" w:rsidP="008E4ADE">
      <w:pPr>
        <w:spacing w:line="240" w:lineRule="auto"/>
        <w:rPr>
          <w:rFonts w:ascii="Times New Roman" w:hAnsi="Times New Roman" w:cs="Times New Roman"/>
          <w:sz w:val="24"/>
          <w:szCs w:val="24"/>
        </w:rPr>
      </w:pPr>
      <w:r w:rsidRPr="00E63842">
        <w:rPr>
          <w:rFonts w:ascii="Times New Roman" w:hAnsi="Times New Roman" w:cs="Times New Roman"/>
          <w:sz w:val="24"/>
          <w:szCs w:val="24"/>
        </w:rPr>
        <w:t xml:space="preserve">Generally, the pattern in the admission cases indicates a significant existence of overlap between the communicable and </w:t>
      </w:r>
      <w:r w:rsidR="008050D7">
        <w:rPr>
          <w:rFonts w:ascii="Times New Roman" w:hAnsi="Times New Roman" w:cs="Times New Roman"/>
          <w:sz w:val="24"/>
          <w:szCs w:val="24"/>
        </w:rPr>
        <w:t xml:space="preserve">NCD </w:t>
      </w:r>
      <w:r w:rsidR="008050D7" w:rsidRPr="00E63842">
        <w:rPr>
          <w:rFonts w:ascii="Times New Roman" w:hAnsi="Times New Roman" w:cs="Times New Roman"/>
          <w:sz w:val="24"/>
          <w:szCs w:val="24"/>
        </w:rPr>
        <w:t>conditions</w:t>
      </w:r>
      <w:r w:rsidRPr="00E63842">
        <w:rPr>
          <w:rFonts w:ascii="Times New Roman" w:hAnsi="Times New Roman" w:cs="Times New Roman"/>
          <w:sz w:val="24"/>
          <w:szCs w:val="24"/>
        </w:rPr>
        <w:t>, pointing to the necessity of integrated care practices. The chi-square test of independence that is estimated with a significance level of 0.05 determined that the overall association between disease-causing admissions and gender was statistically significant (X</w:t>
      </w:r>
      <w:r w:rsidRPr="00EC4594">
        <w:rPr>
          <w:rFonts w:ascii="Times New Roman" w:hAnsi="Times New Roman" w:cs="Times New Roman"/>
          <w:sz w:val="24"/>
          <w:szCs w:val="24"/>
          <w:vertAlign w:val="superscript"/>
        </w:rPr>
        <w:t>2</w:t>
      </w:r>
      <w:r w:rsidRPr="00E63842">
        <w:rPr>
          <w:rFonts w:ascii="Times New Roman" w:hAnsi="Times New Roman" w:cs="Times New Roman"/>
          <w:sz w:val="24"/>
          <w:szCs w:val="24"/>
        </w:rPr>
        <w:t xml:space="preserve"> 15= 30.84, P&lt;0.009). Particularly, there were substantial gender differences in various conditions, such as Tuberculosis of Other Specified Organ or Site had a higher admission proportion in females (57.5 %) than males (42.5 %) (p = 0.036).</w:t>
      </w:r>
    </w:p>
    <w:p w14:paraId="08DA3BCD" w14:textId="3F6A85E7" w:rsidR="008E4ADE" w:rsidRPr="00E63842" w:rsidRDefault="008E4ADE" w:rsidP="008E4ADE">
      <w:pPr>
        <w:spacing w:line="240" w:lineRule="auto"/>
        <w:rPr>
          <w:rFonts w:ascii="Times New Roman" w:hAnsi="Times New Roman" w:cs="Times New Roman"/>
          <w:sz w:val="24"/>
          <w:szCs w:val="24"/>
        </w:rPr>
      </w:pPr>
      <w:r w:rsidRPr="00E63842">
        <w:rPr>
          <w:rFonts w:ascii="Times New Roman" w:hAnsi="Times New Roman" w:cs="Times New Roman"/>
          <w:sz w:val="24"/>
          <w:szCs w:val="24"/>
        </w:rPr>
        <w:t xml:space="preserve">Chronic Liver Disease had higher admissions among males, with a higher proportion of 65.2% (p = 0.011) as compared to females. Intracerebral </w:t>
      </w:r>
      <w:r w:rsidR="006765D7" w:rsidRPr="00E63842">
        <w:rPr>
          <w:rFonts w:ascii="Times New Roman" w:hAnsi="Times New Roman" w:cs="Times New Roman"/>
          <w:sz w:val="24"/>
          <w:szCs w:val="24"/>
        </w:rPr>
        <w:t>hemorrhage</w:t>
      </w:r>
      <w:r w:rsidRPr="00E63842">
        <w:rPr>
          <w:rFonts w:ascii="Times New Roman" w:hAnsi="Times New Roman" w:cs="Times New Roman"/>
          <w:sz w:val="24"/>
          <w:szCs w:val="24"/>
        </w:rPr>
        <w:t xml:space="preserve"> recorded a remarkably higher proportion of 73.8% admissions (p = 0.001). The gender proportion of patients admitted with tuberculous meningitis showed a higher admission rate for males (69.7%) than females (30.3%). The difference in admissions of tuberculous meningitis between genders was also statistically significant (p = 0.013). These findings indicate that gender distinctions do exist in as far of enhancing or lowering the chances of contracting some of the diseases that lead to admission and exposure to additional treatment and investigation in clinical and epidemiological studies.</w:t>
      </w:r>
    </w:p>
    <w:p w14:paraId="03EE14DD" w14:textId="77777777" w:rsidR="008E4ADE" w:rsidRDefault="008E4ADE" w:rsidP="008E4ADE">
      <w:pPr>
        <w:spacing w:line="240" w:lineRule="auto"/>
        <w:rPr>
          <w:rFonts w:ascii="Times New Roman" w:hAnsi="Times New Roman" w:cs="Times New Roman"/>
        </w:rPr>
      </w:pPr>
    </w:p>
    <w:p w14:paraId="7ED5305C" w14:textId="3E3798A3" w:rsidR="008E4ADE" w:rsidRDefault="008E4ADE" w:rsidP="008E4ADE">
      <w:pPr>
        <w:spacing w:after="160"/>
        <w:rPr>
          <w:rFonts w:ascii="Times New Roman" w:eastAsia="Calibri" w:hAnsi="Times New Roman" w:cs="Times New Roman"/>
          <w:b/>
          <w:color w:val="000000"/>
          <w:lang w:val="en-GB"/>
        </w:rPr>
      </w:pPr>
      <w:r w:rsidRPr="008E4ADE">
        <w:rPr>
          <w:rFonts w:ascii="Times New Roman" w:eastAsia="Calibri" w:hAnsi="Times New Roman" w:cs="Times New Roman"/>
          <w:b/>
          <w:color w:val="000000"/>
          <w:lang w:val="en-GB"/>
        </w:rPr>
        <w:t>Duration and Outcome of Hospital Admission</w:t>
      </w:r>
    </w:p>
    <w:p w14:paraId="35D67453" w14:textId="1D64BF86" w:rsidR="008E4ADE" w:rsidRDefault="008E4ADE" w:rsidP="008E4ADE">
      <w:pPr>
        <w:spacing w:after="160" w:line="240" w:lineRule="auto"/>
        <w:rPr>
          <w:rFonts w:ascii="Times New Roman" w:eastAsia="Calibri" w:hAnsi="Times New Roman" w:cs="Times New Roman"/>
          <w:bCs/>
          <w:color w:val="000000"/>
          <w:sz w:val="24"/>
          <w:lang w:val="en-GB"/>
        </w:rPr>
      </w:pPr>
      <w:r w:rsidRPr="005723AE">
        <w:rPr>
          <w:rFonts w:ascii="Times New Roman" w:eastAsia="Calibri" w:hAnsi="Times New Roman" w:cs="Times New Roman"/>
          <w:bCs/>
          <w:color w:val="000000"/>
          <w:sz w:val="24"/>
          <w:lang w:val="en-GB"/>
        </w:rPr>
        <w:t>While the highest absolute number of improved/discharged patients (877 out of 1118, or approximately 78</w:t>
      </w:r>
      <w:r w:rsidR="005723AE" w:rsidRPr="005723AE">
        <w:rPr>
          <w:rFonts w:ascii="Times New Roman" w:eastAsia="Calibri" w:hAnsi="Times New Roman" w:cs="Times New Roman"/>
          <w:bCs/>
          <w:color w:val="000000"/>
          <w:sz w:val="24"/>
          <w:lang w:val="en-GB"/>
        </w:rPr>
        <w:t>%) was</w:t>
      </w:r>
      <w:r w:rsidRPr="005723AE">
        <w:rPr>
          <w:rFonts w:ascii="Times New Roman" w:eastAsia="Calibri" w:hAnsi="Times New Roman" w:cs="Times New Roman"/>
          <w:bCs/>
          <w:color w:val="000000"/>
          <w:sz w:val="24"/>
          <w:lang w:val="en-GB"/>
        </w:rPr>
        <w:t xml:space="preserve"> observed among those who stayed 4–7 and &gt;7 days, a higher proportion of deaths occurred among those with shorter hospital stays (1–3 days), possibly reflecting critical conditions on arrival</w:t>
      </w:r>
      <w:r w:rsidR="005723AE">
        <w:rPr>
          <w:rFonts w:ascii="Times New Roman" w:eastAsia="Calibri" w:hAnsi="Times New Roman" w:cs="Times New Roman"/>
          <w:bCs/>
          <w:color w:val="000000"/>
          <w:sz w:val="24"/>
          <w:lang w:val="en-GB"/>
        </w:rPr>
        <w:t>.</w:t>
      </w:r>
      <w:r w:rsidR="007A7613" w:rsidRPr="007A7613">
        <w:t xml:space="preserve"> </w:t>
      </w:r>
      <w:r w:rsidR="007A7613" w:rsidRPr="007A7613">
        <w:rPr>
          <w:rFonts w:ascii="Times New Roman" w:eastAsia="Calibri" w:hAnsi="Times New Roman" w:cs="Times New Roman"/>
          <w:bCs/>
          <w:color w:val="000000"/>
          <w:sz w:val="24"/>
          <w:lang w:val="en-GB"/>
        </w:rPr>
        <w:t>It is worth noting that deaths were most evident in the shortest stay group (1-3 days: 11.4 %), and least evident in the 4-7 days (3.4 %) and &gt;7 days (4.9 %) groups. Conversely, the shortest hospital stays (1-3 days) yielded the highest mortality rate (i.e., 11.4%), presumably because these patients were very ill at admission or had delayed presentation.</w:t>
      </w:r>
      <w:r w:rsidR="008050D7">
        <w:rPr>
          <w:rFonts w:ascii="Times New Roman" w:eastAsia="Calibri" w:hAnsi="Times New Roman" w:cs="Times New Roman"/>
          <w:bCs/>
          <w:color w:val="000000"/>
          <w:sz w:val="24"/>
          <w:lang w:val="en-GB"/>
        </w:rPr>
        <w:t xml:space="preserve"> </w:t>
      </w:r>
      <w:r w:rsidR="007A7613" w:rsidRPr="007A7613">
        <w:rPr>
          <w:rFonts w:ascii="Times New Roman" w:eastAsia="Calibri" w:hAnsi="Times New Roman" w:cs="Times New Roman"/>
          <w:bCs/>
          <w:color w:val="000000"/>
          <w:sz w:val="24"/>
          <w:lang w:val="en-GB"/>
        </w:rPr>
        <w:t>A Chi-square test of independence showed that hospital stay duration was significantly associated with admission outcomes (X</w:t>
      </w:r>
      <w:r w:rsidR="007A7613" w:rsidRPr="00EC4594">
        <w:rPr>
          <w:rFonts w:ascii="Times New Roman" w:eastAsia="Calibri" w:hAnsi="Times New Roman" w:cs="Times New Roman"/>
          <w:bCs/>
          <w:color w:val="000000"/>
          <w:sz w:val="24"/>
          <w:vertAlign w:val="superscript"/>
          <w:lang w:val="en-GB"/>
        </w:rPr>
        <w:t>2</w:t>
      </w:r>
      <w:r w:rsidR="007A7613" w:rsidRPr="007A7613">
        <w:rPr>
          <w:rFonts w:ascii="Times New Roman" w:eastAsia="Calibri" w:hAnsi="Times New Roman" w:cs="Times New Roman"/>
          <w:bCs/>
          <w:color w:val="000000"/>
          <w:sz w:val="24"/>
          <w:lang w:val="en-GB"/>
        </w:rPr>
        <w:t>6= 26.43, p&lt;0.001). Particularly, the outcomes of patients admitted to the medical ward varied greatly across hospital stay durations, with a notably higher proportion of deaths occurring within the shortest hospital stays (1-3 days)</w:t>
      </w:r>
      <w:r w:rsidR="007A7613">
        <w:rPr>
          <w:rFonts w:ascii="Times New Roman" w:eastAsia="Calibri" w:hAnsi="Times New Roman" w:cs="Times New Roman"/>
          <w:bCs/>
          <w:color w:val="000000"/>
          <w:sz w:val="24"/>
          <w:lang w:val="en-GB"/>
        </w:rPr>
        <w:t xml:space="preserve"> (</w:t>
      </w:r>
      <w:r w:rsidR="007A7613" w:rsidRPr="007A7613">
        <w:t>Table</w:t>
      </w:r>
      <w:r w:rsidR="007A7613" w:rsidRPr="007A7613">
        <w:rPr>
          <w:rFonts w:ascii="Times New Roman" w:eastAsia="Calibri" w:hAnsi="Times New Roman" w:cs="Times New Roman"/>
          <w:bCs/>
          <w:color w:val="000000"/>
          <w:sz w:val="24"/>
          <w:lang w:val="en-GB"/>
        </w:rPr>
        <w:t xml:space="preserve"> 4</w:t>
      </w:r>
      <w:r w:rsidR="007A7613">
        <w:rPr>
          <w:rFonts w:ascii="Times New Roman" w:eastAsia="Calibri" w:hAnsi="Times New Roman" w:cs="Times New Roman"/>
          <w:bCs/>
          <w:color w:val="000000"/>
          <w:sz w:val="24"/>
          <w:lang w:val="en-GB"/>
        </w:rPr>
        <w:t>)</w:t>
      </w:r>
      <w:r w:rsidR="007A7613" w:rsidRPr="007A7613">
        <w:rPr>
          <w:rFonts w:ascii="Times New Roman" w:eastAsia="Calibri" w:hAnsi="Times New Roman" w:cs="Times New Roman"/>
          <w:bCs/>
          <w:color w:val="000000"/>
          <w:sz w:val="24"/>
          <w:lang w:val="en-GB"/>
        </w:rPr>
        <w:t>.</w:t>
      </w:r>
      <w:r w:rsidR="008050D7">
        <w:rPr>
          <w:rFonts w:ascii="Times New Roman" w:eastAsia="Calibri" w:hAnsi="Times New Roman" w:cs="Times New Roman"/>
          <w:bCs/>
          <w:color w:val="000000"/>
          <w:sz w:val="24"/>
          <w:lang w:val="en-GB"/>
        </w:rPr>
        <w:t xml:space="preserve"> </w:t>
      </w:r>
      <w:r w:rsidR="007A7613" w:rsidRPr="007A7613">
        <w:rPr>
          <w:rFonts w:ascii="Times New Roman" w:eastAsia="Calibri" w:hAnsi="Times New Roman" w:cs="Times New Roman"/>
          <w:bCs/>
          <w:color w:val="000000"/>
          <w:sz w:val="24"/>
          <w:lang w:val="en-GB"/>
        </w:rPr>
        <w:t>On the whole, these findings signify that early management and intervention are significant in mitigating early in-hospital mortality and enhancing patient outcomes.</w:t>
      </w:r>
    </w:p>
    <w:p w14:paraId="02233D8B" w14:textId="278C7BBF" w:rsidR="00990751" w:rsidRPr="00990751" w:rsidRDefault="00990751" w:rsidP="008E4ADE">
      <w:pPr>
        <w:spacing w:line="240" w:lineRule="auto"/>
        <w:rPr>
          <w:rFonts w:ascii="Times New Roman" w:hAnsi="Times New Roman" w:cs="Times New Roman"/>
          <w:b/>
          <w:bCs/>
          <w:sz w:val="24"/>
          <w:szCs w:val="24"/>
          <w:lang w:val="en-GB"/>
        </w:rPr>
      </w:pPr>
      <w:r w:rsidRPr="00990751">
        <w:rPr>
          <w:rFonts w:ascii="Times New Roman" w:hAnsi="Times New Roman" w:cs="Times New Roman"/>
          <w:b/>
          <w:bCs/>
          <w:sz w:val="24"/>
          <w:szCs w:val="24"/>
          <w:lang w:val="en-GB"/>
        </w:rPr>
        <w:t>Causes of Mortality</w:t>
      </w:r>
    </w:p>
    <w:p w14:paraId="7B3FD9A6" w14:textId="49756E2F" w:rsidR="0003517F" w:rsidRDefault="00990751" w:rsidP="0003517F">
      <w:pPr>
        <w:spacing w:before="240" w:line="240" w:lineRule="auto"/>
        <w:rPr>
          <w:b/>
          <w:color w:val="000000"/>
        </w:rPr>
      </w:pPr>
      <w:r w:rsidRPr="00E63842">
        <w:rPr>
          <w:rFonts w:ascii="Times New Roman" w:hAnsi="Times New Roman" w:cs="Times New Roman"/>
          <w:sz w:val="24"/>
          <w:szCs w:val="24"/>
        </w:rPr>
        <w:t>As indicated in Figure 1 below, the most frequent cause of death among the 67 deaths that occurred during the study period was tuberculosis, with 16.4% (11) of all deaths being extrapulmonary (7 deaths) and meningeal (4 deaths). A significant percentage of 7.5% (5 deaths) was caused by chronic liver disease, which indicates that the disease continues to exert</w:t>
      </w:r>
      <w:r w:rsidR="00E63842" w:rsidRPr="00E63842">
        <w:rPr>
          <w:rFonts w:ascii="Times New Roman" w:hAnsi="Times New Roman" w:cs="Times New Roman"/>
          <w:sz w:val="24"/>
          <w:szCs w:val="24"/>
        </w:rPr>
        <w:t xml:space="preserve"> </w:t>
      </w:r>
      <w:r w:rsidRPr="00E63842">
        <w:rPr>
          <w:rFonts w:ascii="Times New Roman" w:hAnsi="Times New Roman" w:cs="Times New Roman"/>
          <w:sz w:val="24"/>
          <w:szCs w:val="24"/>
        </w:rPr>
        <w:t>pressure on hepatic complications in various regions of Ethiopia.</w:t>
      </w:r>
      <w:r w:rsidR="00902EB1" w:rsidRPr="00E63842">
        <w:rPr>
          <w:rFonts w:ascii="Times New Roman" w:hAnsi="Times New Roman" w:cs="Times New Roman"/>
          <w:sz w:val="24"/>
          <w:szCs w:val="24"/>
        </w:rPr>
        <w:t xml:space="preserve"> </w:t>
      </w:r>
    </w:p>
    <w:p w14:paraId="3859A828" w14:textId="77777777" w:rsidR="007515F1" w:rsidRDefault="007515F1" w:rsidP="0003517F">
      <w:pPr>
        <w:jc w:val="center"/>
        <w:rPr>
          <w:b/>
          <w:color w:val="000000"/>
        </w:rPr>
        <w:sectPr w:rsidR="007515F1" w:rsidSect="00902EB1">
          <w:type w:val="continuous"/>
          <w:pgSz w:w="12240" w:h="15840"/>
          <w:pgMar w:top="1440" w:right="720" w:bottom="1440" w:left="1440" w:header="720" w:footer="720" w:gutter="0"/>
          <w:cols w:num="2" w:space="576"/>
          <w:docGrid w:linePitch="360"/>
        </w:sectPr>
      </w:pPr>
    </w:p>
    <w:p w14:paraId="3C9CC8FE" w14:textId="42F80726" w:rsidR="0003517F" w:rsidRPr="0003517F" w:rsidRDefault="0003517F" w:rsidP="0003517F">
      <w:pPr>
        <w:pStyle w:val="Caption"/>
        <w:keepNext/>
        <w:rPr>
          <w:rFonts w:ascii="Times New Roman" w:hAnsi="Times New Roman" w:cs="Times New Roman"/>
          <w:i w:val="0"/>
          <w:iCs w:val="0"/>
          <w:color w:val="auto"/>
          <w:sz w:val="24"/>
          <w:szCs w:val="24"/>
        </w:rPr>
      </w:pPr>
      <w:r w:rsidRPr="0003517F">
        <w:rPr>
          <w:rFonts w:ascii="Times New Roman" w:hAnsi="Times New Roman" w:cs="Times New Roman"/>
          <w:i w:val="0"/>
          <w:iCs w:val="0"/>
          <w:color w:val="auto"/>
          <w:sz w:val="24"/>
          <w:szCs w:val="24"/>
        </w:rPr>
        <w:t>Table 4: Association between hospital length of stay and patient outcomes (N = 1118)</w:t>
      </w:r>
    </w:p>
    <w:tbl>
      <w:tblPr>
        <w:tblStyle w:val="TableGrid3"/>
        <w:tblW w:w="4784" w:type="pct"/>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1712"/>
        <w:gridCol w:w="1712"/>
        <w:gridCol w:w="1625"/>
        <w:gridCol w:w="1421"/>
        <w:gridCol w:w="845"/>
      </w:tblGrid>
      <w:tr w:rsidR="0003517F" w:rsidRPr="0003517F" w14:paraId="569D47FF" w14:textId="77777777" w:rsidTr="00F83452">
        <w:trPr>
          <w:trHeight w:val="440"/>
          <w:jc w:val="center"/>
        </w:trPr>
        <w:tc>
          <w:tcPr>
            <w:tcW w:w="1287" w:type="pct"/>
            <w:vMerge w:val="restart"/>
            <w:tcBorders>
              <w:top w:val="single" w:sz="4" w:space="0" w:color="auto"/>
              <w:bottom w:val="nil"/>
            </w:tcBorders>
          </w:tcPr>
          <w:p w14:paraId="35BFD1AA" w14:textId="77777777" w:rsidR="0003517F" w:rsidRPr="0003517F" w:rsidRDefault="0003517F" w:rsidP="00B46107">
            <w:pPr>
              <w:jc w:val="both"/>
              <w:rPr>
                <w:rFonts w:ascii="Times New Roman" w:hAnsi="Times New Roman" w:cs="Times New Roman"/>
                <w:b/>
                <w:color w:val="000000"/>
              </w:rPr>
            </w:pPr>
            <w:r w:rsidRPr="0003517F">
              <w:rPr>
                <w:rFonts w:ascii="Times New Roman" w:hAnsi="Times New Roman" w:cs="Times New Roman"/>
                <w:b/>
                <w:color w:val="000000"/>
              </w:rPr>
              <w:t>Admission Outcome</w:t>
            </w:r>
          </w:p>
        </w:tc>
        <w:tc>
          <w:tcPr>
            <w:tcW w:w="3283" w:type="pct"/>
            <w:gridSpan w:val="4"/>
            <w:tcBorders>
              <w:top w:val="single" w:sz="4" w:space="0" w:color="auto"/>
              <w:bottom w:val="single" w:sz="4" w:space="0" w:color="auto"/>
            </w:tcBorders>
          </w:tcPr>
          <w:p w14:paraId="1ADB3702" w14:textId="3D346837" w:rsidR="0003517F" w:rsidRPr="0003517F" w:rsidRDefault="0003517F" w:rsidP="00B46107">
            <w:pPr>
              <w:jc w:val="center"/>
              <w:rPr>
                <w:rFonts w:ascii="Times New Roman" w:hAnsi="Times New Roman" w:cs="Times New Roman"/>
                <w:b/>
                <w:color w:val="000000"/>
              </w:rPr>
            </w:pPr>
            <w:r w:rsidRPr="0003517F">
              <w:rPr>
                <w:rFonts w:ascii="Times New Roman" w:hAnsi="Times New Roman" w:cs="Times New Roman"/>
                <w:b/>
                <w:color w:val="000000"/>
              </w:rPr>
              <w:t>Hospital stays</w:t>
            </w:r>
          </w:p>
        </w:tc>
        <w:tc>
          <w:tcPr>
            <w:tcW w:w="429" w:type="pct"/>
            <w:tcBorders>
              <w:top w:val="single" w:sz="4" w:space="0" w:color="auto"/>
              <w:bottom w:val="nil"/>
            </w:tcBorders>
          </w:tcPr>
          <w:p w14:paraId="66DA0FCE" w14:textId="77777777" w:rsidR="0003517F" w:rsidRPr="0003517F" w:rsidRDefault="0003517F" w:rsidP="00B46107">
            <w:pPr>
              <w:rPr>
                <w:rFonts w:ascii="Times New Roman" w:hAnsi="Times New Roman" w:cs="Times New Roman"/>
                <w:b/>
                <w:color w:val="000000"/>
              </w:rPr>
            </w:pPr>
            <w:r w:rsidRPr="0003517F">
              <w:rPr>
                <w:rFonts w:ascii="Times New Roman" w:hAnsi="Times New Roman" w:cs="Times New Roman"/>
                <w:b/>
                <w:color w:val="000000"/>
              </w:rPr>
              <w:t>P-value</w:t>
            </w:r>
          </w:p>
        </w:tc>
      </w:tr>
      <w:tr w:rsidR="0003517F" w:rsidRPr="0003517F" w14:paraId="1125C766" w14:textId="77777777" w:rsidTr="00F83452">
        <w:trPr>
          <w:trHeight w:val="515"/>
          <w:jc w:val="center"/>
        </w:trPr>
        <w:tc>
          <w:tcPr>
            <w:tcW w:w="1287" w:type="pct"/>
            <w:vMerge/>
            <w:tcBorders>
              <w:top w:val="single" w:sz="4" w:space="0" w:color="auto"/>
              <w:bottom w:val="nil"/>
            </w:tcBorders>
          </w:tcPr>
          <w:p w14:paraId="6ADFECA2" w14:textId="77777777" w:rsidR="0003517F" w:rsidRPr="0003517F" w:rsidRDefault="0003517F" w:rsidP="00B46107">
            <w:pPr>
              <w:jc w:val="center"/>
              <w:rPr>
                <w:rFonts w:ascii="Times New Roman" w:hAnsi="Times New Roman" w:cs="Times New Roman"/>
                <w:b/>
                <w:color w:val="000000"/>
              </w:rPr>
            </w:pPr>
          </w:p>
        </w:tc>
        <w:tc>
          <w:tcPr>
            <w:tcW w:w="869" w:type="pct"/>
            <w:tcBorders>
              <w:top w:val="single" w:sz="4" w:space="0" w:color="auto"/>
              <w:bottom w:val="single" w:sz="4" w:space="0" w:color="auto"/>
            </w:tcBorders>
            <w:vAlign w:val="center"/>
          </w:tcPr>
          <w:p w14:paraId="4BA3AAB3" w14:textId="2505AE59"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1-3 days</w:t>
            </w:r>
            <w:r w:rsidRPr="0003517F">
              <w:rPr>
                <w:rFonts w:ascii="Times New Roman" w:hAnsi="Times New Roman" w:cs="Times New Roman"/>
              </w:rPr>
              <w:t xml:space="preserve"> </w:t>
            </w:r>
            <w:r w:rsidRPr="0003517F">
              <w:rPr>
                <w:rFonts w:ascii="Times New Roman" w:hAnsi="Times New Roman" w:cs="Times New Roman"/>
                <w:color w:val="000000"/>
              </w:rPr>
              <w:t>n (%)</w:t>
            </w:r>
          </w:p>
        </w:tc>
        <w:tc>
          <w:tcPr>
            <w:tcW w:w="869" w:type="pct"/>
            <w:tcBorders>
              <w:top w:val="single" w:sz="4" w:space="0" w:color="auto"/>
              <w:bottom w:val="single" w:sz="4" w:space="0" w:color="auto"/>
            </w:tcBorders>
            <w:vAlign w:val="center"/>
          </w:tcPr>
          <w:p w14:paraId="6ACBA4B0"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4-7 days</w:t>
            </w:r>
            <w:r w:rsidRPr="0003517F">
              <w:rPr>
                <w:rFonts w:ascii="Times New Roman" w:hAnsi="Times New Roman" w:cs="Times New Roman"/>
              </w:rPr>
              <w:t xml:space="preserve"> </w:t>
            </w:r>
            <w:r w:rsidRPr="0003517F">
              <w:rPr>
                <w:rFonts w:ascii="Times New Roman" w:hAnsi="Times New Roman" w:cs="Times New Roman"/>
                <w:color w:val="000000"/>
              </w:rPr>
              <w:t>n (%)</w:t>
            </w:r>
          </w:p>
        </w:tc>
        <w:tc>
          <w:tcPr>
            <w:tcW w:w="825" w:type="pct"/>
            <w:tcBorders>
              <w:top w:val="single" w:sz="4" w:space="0" w:color="auto"/>
              <w:bottom w:val="single" w:sz="4" w:space="0" w:color="auto"/>
            </w:tcBorders>
            <w:vAlign w:val="center"/>
          </w:tcPr>
          <w:p w14:paraId="5C9551E6"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&gt;7 days</w:t>
            </w:r>
            <w:r w:rsidRPr="0003517F">
              <w:rPr>
                <w:rFonts w:ascii="Times New Roman" w:hAnsi="Times New Roman" w:cs="Times New Roman"/>
              </w:rPr>
              <w:t xml:space="preserve"> </w:t>
            </w:r>
            <w:r w:rsidRPr="0003517F">
              <w:rPr>
                <w:rFonts w:ascii="Times New Roman" w:hAnsi="Times New Roman" w:cs="Times New Roman"/>
                <w:color w:val="000000"/>
              </w:rPr>
              <w:t>n (%)</w:t>
            </w:r>
          </w:p>
        </w:tc>
        <w:tc>
          <w:tcPr>
            <w:tcW w:w="721" w:type="pct"/>
            <w:tcBorders>
              <w:top w:val="single" w:sz="4" w:space="0" w:color="auto"/>
              <w:bottom w:val="single" w:sz="4" w:space="0" w:color="auto"/>
            </w:tcBorders>
            <w:vAlign w:val="center"/>
          </w:tcPr>
          <w:p w14:paraId="5F9B0C02"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Total n (%)</w:t>
            </w:r>
          </w:p>
        </w:tc>
        <w:tc>
          <w:tcPr>
            <w:tcW w:w="429" w:type="pct"/>
            <w:vMerge w:val="restart"/>
            <w:tcBorders>
              <w:top w:val="nil"/>
              <w:bottom w:val="single" w:sz="4" w:space="0" w:color="auto"/>
            </w:tcBorders>
          </w:tcPr>
          <w:p w14:paraId="5A288509" w14:textId="77777777" w:rsidR="0003517F" w:rsidRPr="0003517F" w:rsidRDefault="0003517F" w:rsidP="00B46107">
            <w:pPr>
              <w:jc w:val="center"/>
              <w:rPr>
                <w:rFonts w:ascii="Times New Roman" w:hAnsi="Times New Roman" w:cs="Times New Roman"/>
                <w:color w:val="000000"/>
              </w:rPr>
            </w:pPr>
          </w:p>
          <w:p w14:paraId="5F84A214" w14:textId="77777777" w:rsidR="0003517F" w:rsidRPr="0003517F" w:rsidRDefault="0003517F" w:rsidP="00B46107">
            <w:pPr>
              <w:jc w:val="center"/>
              <w:rPr>
                <w:rFonts w:ascii="Times New Roman" w:hAnsi="Times New Roman" w:cs="Times New Roman"/>
                <w:color w:val="000000"/>
              </w:rPr>
            </w:pPr>
          </w:p>
          <w:p w14:paraId="7E4AC41C" w14:textId="77777777" w:rsidR="0003517F" w:rsidRPr="0003517F" w:rsidRDefault="0003517F" w:rsidP="00B46107">
            <w:pPr>
              <w:jc w:val="center"/>
              <w:rPr>
                <w:rFonts w:ascii="Times New Roman" w:hAnsi="Times New Roman" w:cs="Times New Roman"/>
                <w:color w:val="000000"/>
              </w:rPr>
            </w:pPr>
          </w:p>
          <w:p w14:paraId="15526720" w14:textId="77777777" w:rsidR="0003517F" w:rsidRPr="0003517F" w:rsidRDefault="0003517F" w:rsidP="00B46107">
            <w:pPr>
              <w:jc w:val="center"/>
              <w:rPr>
                <w:rFonts w:ascii="Times New Roman" w:hAnsi="Times New Roman" w:cs="Times New Roman"/>
                <w:color w:val="000000"/>
              </w:rPr>
            </w:pPr>
          </w:p>
          <w:p w14:paraId="154B0155"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0.000</w:t>
            </w:r>
          </w:p>
          <w:p w14:paraId="797ED106" w14:textId="77777777" w:rsidR="0003517F" w:rsidRPr="0003517F" w:rsidRDefault="0003517F" w:rsidP="00B46107">
            <w:pPr>
              <w:jc w:val="center"/>
              <w:rPr>
                <w:rFonts w:ascii="Times New Roman" w:hAnsi="Times New Roman" w:cs="Times New Roman"/>
                <w:color w:val="000000"/>
              </w:rPr>
            </w:pPr>
          </w:p>
        </w:tc>
      </w:tr>
      <w:tr w:rsidR="0003517F" w:rsidRPr="0003517F" w14:paraId="731C6DD7" w14:textId="77777777" w:rsidTr="00F83452">
        <w:trPr>
          <w:trHeight w:val="515"/>
          <w:jc w:val="center"/>
        </w:trPr>
        <w:tc>
          <w:tcPr>
            <w:tcW w:w="1287" w:type="pct"/>
            <w:tcBorders>
              <w:top w:val="nil"/>
            </w:tcBorders>
          </w:tcPr>
          <w:p w14:paraId="715F3D0A" w14:textId="77777777" w:rsidR="0003517F" w:rsidRPr="0003517F" w:rsidRDefault="0003517F" w:rsidP="00B46107">
            <w:pPr>
              <w:rPr>
                <w:rFonts w:ascii="Times New Roman" w:hAnsi="Times New Roman" w:cs="Times New Roman"/>
                <w:color w:val="000000"/>
              </w:rPr>
            </w:pPr>
            <w:r w:rsidRPr="0003517F">
              <w:rPr>
                <w:rFonts w:ascii="Times New Roman" w:hAnsi="Times New Roman" w:cs="Times New Roman"/>
                <w:color w:val="000000"/>
              </w:rPr>
              <w:t>Improved/discharged</w:t>
            </w:r>
          </w:p>
        </w:tc>
        <w:tc>
          <w:tcPr>
            <w:tcW w:w="869" w:type="pct"/>
            <w:tcBorders>
              <w:top w:val="single" w:sz="4" w:space="0" w:color="auto"/>
            </w:tcBorders>
            <w:vAlign w:val="center"/>
          </w:tcPr>
          <w:p w14:paraId="6DB5902E"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206 (23.4%)</w:t>
            </w:r>
          </w:p>
        </w:tc>
        <w:tc>
          <w:tcPr>
            <w:tcW w:w="869" w:type="pct"/>
            <w:tcBorders>
              <w:top w:val="single" w:sz="4" w:space="0" w:color="auto"/>
            </w:tcBorders>
            <w:vAlign w:val="center"/>
          </w:tcPr>
          <w:p w14:paraId="6969361C"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359 (40.9%)</w:t>
            </w:r>
          </w:p>
        </w:tc>
        <w:tc>
          <w:tcPr>
            <w:tcW w:w="825" w:type="pct"/>
            <w:tcBorders>
              <w:top w:val="single" w:sz="4" w:space="0" w:color="auto"/>
            </w:tcBorders>
            <w:vAlign w:val="center"/>
          </w:tcPr>
          <w:p w14:paraId="044DC4B0"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312 (35.5%)</w:t>
            </w:r>
          </w:p>
        </w:tc>
        <w:tc>
          <w:tcPr>
            <w:tcW w:w="721" w:type="pct"/>
            <w:tcBorders>
              <w:top w:val="single" w:sz="4" w:space="0" w:color="auto"/>
            </w:tcBorders>
            <w:vAlign w:val="center"/>
          </w:tcPr>
          <w:p w14:paraId="367F58B9" w14:textId="77777777" w:rsidR="0003517F" w:rsidRPr="0003517F" w:rsidRDefault="0003517F" w:rsidP="00B46107">
            <w:pPr>
              <w:jc w:val="center"/>
              <w:rPr>
                <w:rFonts w:ascii="Times New Roman" w:hAnsi="Times New Roman" w:cs="Times New Roman"/>
              </w:rPr>
            </w:pPr>
            <w:r w:rsidRPr="0003517F">
              <w:rPr>
                <w:rFonts w:ascii="Times New Roman" w:hAnsi="Times New Roman" w:cs="Times New Roman"/>
              </w:rPr>
              <w:t>877 (78.4%)</w:t>
            </w:r>
          </w:p>
        </w:tc>
        <w:tc>
          <w:tcPr>
            <w:tcW w:w="429" w:type="pct"/>
            <w:vMerge/>
            <w:tcBorders>
              <w:top w:val="single" w:sz="4" w:space="0" w:color="auto"/>
            </w:tcBorders>
          </w:tcPr>
          <w:p w14:paraId="4E7B814E" w14:textId="77777777" w:rsidR="0003517F" w:rsidRPr="0003517F" w:rsidRDefault="0003517F" w:rsidP="00B46107">
            <w:pPr>
              <w:jc w:val="center"/>
              <w:rPr>
                <w:rFonts w:ascii="Times New Roman" w:hAnsi="Times New Roman" w:cs="Times New Roman"/>
                <w:color w:val="000000"/>
              </w:rPr>
            </w:pPr>
          </w:p>
        </w:tc>
      </w:tr>
      <w:tr w:rsidR="0003517F" w:rsidRPr="0003517F" w14:paraId="3B74E829" w14:textId="77777777" w:rsidTr="00F83452">
        <w:trPr>
          <w:trHeight w:val="515"/>
          <w:jc w:val="center"/>
        </w:trPr>
        <w:tc>
          <w:tcPr>
            <w:tcW w:w="1287" w:type="pct"/>
          </w:tcPr>
          <w:p w14:paraId="24AECF83" w14:textId="77777777" w:rsidR="0003517F" w:rsidRPr="0003517F" w:rsidRDefault="0003517F" w:rsidP="00B46107">
            <w:pPr>
              <w:rPr>
                <w:rFonts w:ascii="Times New Roman" w:hAnsi="Times New Roman" w:cs="Times New Roman"/>
                <w:color w:val="000000"/>
              </w:rPr>
            </w:pPr>
            <w:r w:rsidRPr="0003517F">
              <w:rPr>
                <w:rFonts w:ascii="Times New Roman" w:hAnsi="Times New Roman" w:cs="Times New Roman"/>
                <w:color w:val="000000"/>
              </w:rPr>
              <w:t>Referred</w:t>
            </w:r>
          </w:p>
        </w:tc>
        <w:tc>
          <w:tcPr>
            <w:tcW w:w="869" w:type="pct"/>
            <w:vAlign w:val="center"/>
          </w:tcPr>
          <w:p w14:paraId="615B988C"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19 (23.4%)</w:t>
            </w:r>
          </w:p>
        </w:tc>
        <w:tc>
          <w:tcPr>
            <w:tcW w:w="869" w:type="pct"/>
            <w:vAlign w:val="center"/>
          </w:tcPr>
          <w:p w14:paraId="11F82966"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35 (43.2%)</w:t>
            </w:r>
          </w:p>
        </w:tc>
        <w:tc>
          <w:tcPr>
            <w:tcW w:w="825" w:type="pct"/>
            <w:vAlign w:val="center"/>
          </w:tcPr>
          <w:p w14:paraId="7858EF2A"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27 (33.3%)</w:t>
            </w:r>
          </w:p>
        </w:tc>
        <w:tc>
          <w:tcPr>
            <w:tcW w:w="721" w:type="pct"/>
            <w:vAlign w:val="center"/>
          </w:tcPr>
          <w:p w14:paraId="06DC188B" w14:textId="77777777" w:rsidR="0003517F" w:rsidRPr="0003517F" w:rsidRDefault="0003517F" w:rsidP="00B46107">
            <w:pPr>
              <w:jc w:val="center"/>
              <w:rPr>
                <w:rFonts w:ascii="Times New Roman" w:hAnsi="Times New Roman" w:cs="Times New Roman"/>
              </w:rPr>
            </w:pPr>
            <w:r w:rsidRPr="0003517F">
              <w:rPr>
                <w:rFonts w:ascii="Times New Roman" w:hAnsi="Times New Roman" w:cs="Times New Roman"/>
              </w:rPr>
              <w:t>81 (7.2%)</w:t>
            </w:r>
          </w:p>
        </w:tc>
        <w:tc>
          <w:tcPr>
            <w:tcW w:w="429" w:type="pct"/>
            <w:vMerge/>
          </w:tcPr>
          <w:p w14:paraId="44A650C1" w14:textId="77777777" w:rsidR="0003517F" w:rsidRPr="0003517F" w:rsidRDefault="0003517F" w:rsidP="00B46107">
            <w:pPr>
              <w:jc w:val="center"/>
              <w:rPr>
                <w:rFonts w:ascii="Times New Roman" w:hAnsi="Times New Roman" w:cs="Times New Roman"/>
                <w:color w:val="000000"/>
              </w:rPr>
            </w:pPr>
          </w:p>
        </w:tc>
      </w:tr>
      <w:tr w:rsidR="0003517F" w:rsidRPr="0003517F" w14:paraId="166D2ABD" w14:textId="77777777" w:rsidTr="00F83452">
        <w:trPr>
          <w:trHeight w:val="515"/>
          <w:jc w:val="center"/>
        </w:trPr>
        <w:tc>
          <w:tcPr>
            <w:tcW w:w="1287" w:type="pct"/>
          </w:tcPr>
          <w:p w14:paraId="0EFB43E4" w14:textId="77777777" w:rsidR="0003517F" w:rsidRPr="0003517F" w:rsidRDefault="0003517F" w:rsidP="00B46107">
            <w:pPr>
              <w:rPr>
                <w:rFonts w:ascii="Times New Roman" w:hAnsi="Times New Roman" w:cs="Times New Roman"/>
                <w:color w:val="000000"/>
              </w:rPr>
            </w:pPr>
            <w:r w:rsidRPr="0003517F">
              <w:rPr>
                <w:rFonts w:ascii="Times New Roman" w:hAnsi="Times New Roman" w:cs="Times New Roman"/>
                <w:color w:val="000000"/>
              </w:rPr>
              <w:t>DAMA</w:t>
            </w:r>
          </w:p>
        </w:tc>
        <w:tc>
          <w:tcPr>
            <w:tcW w:w="869" w:type="pct"/>
            <w:vAlign w:val="center"/>
          </w:tcPr>
          <w:p w14:paraId="586830E2"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32 (34.4%)</w:t>
            </w:r>
          </w:p>
        </w:tc>
        <w:tc>
          <w:tcPr>
            <w:tcW w:w="869" w:type="pct"/>
            <w:vAlign w:val="center"/>
          </w:tcPr>
          <w:p w14:paraId="30282AA4"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34 (36.5%)</w:t>
            </w:r>
          </w:p>
        </w:tc>
        <w:tc>
          <w:tcPr>
            <w:tcW w:w="825" w:type="pct"/>
            <w:vAlign w:val="center"/>
          </w:tcPr>
          <w:p w14:paraId="0FF89592"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27 (29%)</w:t>
            </w:r>
          </w:p>
        </w:tc>
        <w:tc>
          <w:tcPr>
            <w:tcW w:w="721" w:type="pct"/>
            <w:vAlign w:val="center"/>
          </w:tcPr>
          <w:p w14:paraId="4E8EBA29" w14:textId="77777777" w:rsidR="0003517F" w:rsidRPr="0003517F" w:rsidRDefault="0003517F" w:rsidP="00B46107">
            <w:pPr>
              <w:jc w:val="center"/>
              <w:rPr>
                <w:rFonts w:ascii="Times New Roman" w:hAnsi="Times New Roman" w:cs="Times New Roman"/>
              </w:rPr>
            </w:pPr>
            <w:r w:rsidRPr="0003517F">
              <w:rPr>
                <w:rFonts w:ascii="Times New Roman" w:hAnsi="Times New Roman" w:cs="Times New Roman"/>
              </w:rPr>
              <w:t>93 (8.3%)</w:t>
            </w:r>
          </w:p>
        </w:tc>
        <w:tc>
          <w:tcPr>
            <w:tcW w:w="429" w:type="pct"/>
            <w:vMerge/>
          </w:tcPr>
          <w:p w14:paraId="5488929B" w14:textId="77777777" w:rsidR="0003517F" w:rsidRPr="0003517F" w:rsidRDefault="0003517F" w:rsidP="00B46107">
            <w:pPr>
              <w:jc w:val="center"/>
              <w:rPr>
                <w:rFonts w:ascii="Times New Roman" w:hAnsi="Times New Roman" w:cs="Times New Roman"/>
                <w:color w:val="000000"/>
              </w:rPr>
            </w:pPr>
          </w:p>
        </w:tc>
      </w:tr>
      <w:tr w:rsidR="0003517F" w:rsidRPr="0003517F" w14:paraId="4F1BB2F9" w14:textId="77777777" w:rsidTr="00F83452">
        <w:trPr>
          <w:trHeight w:val="515"/>
          <w:jc w:val="center"/>
        </w:trPr>
        <w:tc>
          <w:tcPr>
            <w:tcW w:w="1287" w:type="pct"/>
            <w:tcBorders>
              <w:bottom w:val="single" w:sz="4" w:space="0" w:color="auto"/>
            </w:tcBorders>
          </w:tcPr>
          <w:p w14:paraId="750D53BF" w14:textId="77777777" w:rsidR="0003517F" w:rsidRPr="0003517F" w:rsidRDefault="0003517F" w:rsidP="00B46107">
            <w:pPr>
              <w:rPr>
                <w:rFonts w:ascii="Times New Roman" w:hAnsi="Times New Roman" w:cs="Times New Roman"/>
                <w:color w:val="000000"/>
              </w:rPr>
            </w:pPr>
            <w:r w:rsidRPr="0003517F">
              <w:rPr>
                <w:rFonts w:ascii="Times New Roman" w:hAnsi="Times New Roman" w:cs="Times New Roman"/>
                <w:color w:val="000000"/>
              </w:rPr>
              <w:t>Died</w:t>
            </w:r>
          </w:p>
        </w:tc>
        <w:tc>
          <w:tcPr>
            <w:tcW w:w="869" w:type="pct"/>
            <w:tcBorders>
              <w:bottom w:val="single" w:sz="4" w:space="0" w:color="auto"/>
            </w:tcBorders>
            <w:vAlign w:val="center"/>
          </w:tcPr>
          <w:p w14:paraId="1B52C458"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33 (49.2%)</w:t>
            </w:r>
          </w:p>
        </w:tc>
        <w:tc>
          <w:tcPr>
            <w:tcW w:w="869" w:type="pct"/>
            <w:tcBorders>
              <w:bottom w:val="single" w:sz="4" w:space="0" w:color="auto"/>
            </w:tcBorders>
            <w:vAlign w:val="center"/>
          </w:tcPr>
          <w:p w14:paraId="5143247B"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15 (22.3%)</w:t>
            </w:r>
          </w:p>
        </w:tc>
        <w:tc>
          <w:tcPr>
            <w:tcW w:w="825" w:type="pct"/>
            <w:tcBorders>
              <w:bottom w:val="single" w:sz="4" w:space="0" w:color="auto"/>
            </w:tcBorders>
            <w:vAlign w:val="center"/>
          </w:tcPr>
          <w:p w14:paraId="17DB6B96" w14:textId="77777777" w:rsidR="0003517F" w:rsidRPr="0003517F" w:rsidRDefault="0003517F" w:rsidP="00B46107">
            <w:pPr>
              <w:jc w:val="center"/>
              <w:rPr>
                <w:rFonts w:ascii="Times New Roman" w:hAnsi="Times New Roman" w:cs="Times New Roman"/>
                <w:color w:val="000000"/>
              </w:rPr>
            </w:pPr>
            <w:r w:rsidRPr="0003517F">
              <w:rPr>
                <w:rFonts w:ascii="Times New Roman" w:hAnsi="Times New Roman" w:cs="Times New Roman"/>
                <w:color w:val="000000"/>
              </w:rPr>
              <w:t>19 (28.3%)</w:t>
            </w:r>
          </w:p>
        </w:tc>
        <w:tc>
          <w:tcPr>
            <w:tcW w:w="721" w:type="pct"/>
            <w:tcBorders>
              <w:bottom w:val="single" w:sz="4" w:space="0" w:color="auto"/>
            </w:tcBorders>
            <w:vAlign w:val="center"/>
          </w:tcPr>
          <w:p w14:paraId="57BB185B" w14:textId="77777777" w:rsidR="0003517F" w:rsidRPr="0003517F" w:rsidRDefault="0003517F" w:rsidP="00B46107">
            <w:pPr>
              <w:jc w:val="center"/>
              <w:rPr>
                <w:rFonts w:ascii="Times New Roman" w:hAnsi="Times New Roman" w:cs="Times New Roman"/>
              </w:rPr>
            </w:pPr>
            <w:r w:rsidRPr="0003517F">
              <w:rPr>
                <w:rFonts w:ascii="Times New Roman" w:hAnsi="Times New Roman" w:cs="Times New Roman"/>
              </w:rPr>
              <w:t>67 (6.0%)</w:t>
            </w:r>
          </w:p>
        </w:tc>
        <w:tc>
          <w:tcPr>
            <w:tcW w:w="429" w:type="pct"/>
            <w:vMerge/>
            <w:tcBorders>
              <w:bottom w:val="single" w:sz="4" w:space="0" w:color="auto"/>
            </w:tcBorders>
          </w:tcPr>
          <w:p w14:paraId="3FA2441C" w14:textId="77777777" w:rsidR="0003517F" w:rsidRPr="0003517F" w:rsidRDefault="0003517F" w:rsidP="00B46107">
            <w:pPr>
              <w:jc w:val="center"/>
              <w:rPr>
                <w:rFonts w:ascii="Times New Roman" w:hAnsi="Times New Roman" w:cs="Times New Roman"/>
                <w:color w:val="000000"/>
              </w:rPr>
            </w:pPr>
          </w:p>
        </w:tc>
      </w:tr>
      <w:tr w:rsidR="0003517F" w:rsidRPr="0003517F" w14:paraId="107FB7B1" w14:textId="77777777" w:rsidTr="00F83452">
        <w:trPr>
          <w:trHeight w:val="515"/>
          <w:jc w:val="center"/>
        </w:trPr>
        <w:tc>
          <w:tcPr>
            <w:tcW w:w="5000" w:type="pct"/>
            <w:gridSpan w:val="6"/>
            <w:tcBorders>
              <w:top w:val="single" w:sz="4" w:space="0" w:color="auto"/>
            </w:tcBorders>
          </w:tcPr>
          <w:p w14:paraId="1162A5CF" w14:textId="5F82A64C" w:rsidR="0003517F" w:rsidRPr="0003517F" w:rsidRDefault="0003517F" w:rsidP="00DD40B5">
            <w:pPr>
              <w:jc w:val="both"/>
              <w:rPr>
                <w:rFonts w:ascii="Times New Roman" w:hAnsi="Times New Roman" w:cs="Times New Roman"/>
                <w:color w:val="000000"/>
              </w:rPr>
            </w:pPr>
            <w:r w:rsidRPr="0003517F">
              <w:rPr>
                <w:rFonts w:ascii="Times New Roman" w:hAnsi="Times New Roman" w:cs="Times New Roman"/>
                <w:color w:val="000000"/>
              </w:rPr>
              <w:t>DAMA: Discharged against medical advice. Note: X</w:t>
            </w:r>
            <w:r w:rsidRPr="00EC4594">
              <w:rPr>
                <w:rFonts w:ascii="Times New Roman" w:hAnsi="Times New Roman" w:cs="Times New Roman"/>
                <w:color w:val="000000"/>
                <w:vertAlign w:val="superscript"/>
              </w:rPr>
              <w:t>2</w:t>
            </w:r>
            <w:r w:rsidRPr="0003517F">
              <w:rPr>
                <w:rFonts w:ascii="Times New Roman" w:hAnsi="Times New Roman" w:cs="Times New Roman"/>
                <w:color w:val="000000"/>
              </w:rPr>
              <w:t>6= 26.43, P&lt;0.001</w:t>
            </w:r>
          </w:p>
        </w:tc>
      </w:tr>
    </w:tbl>
    <w:p w14:paraId="6294DCFF" w14:textId="77777777" w:rsidR="0003517F" w:rsidRDefault="0003517F" w:rsidP="00902EB1">
      <w:pPr>
        <w:spacing w:before="240" w:line="240" w:lineRule="auto"/>
        <w:rPr>
          <w:rFonts w:ascii="Times New Roman" w:hAnsi="Times New Roman" w:cs="Times New Roman"/>
          <w:sz w:val="24"/>
          <w:szCs w:val="24"/>
        </w:rPr>
        <w:sectPr w:rsidR="0003517F" w:rsidSect="0003517F">
          <w:type w:val="continuous"/>
          <w:pgSz w:w="12240" w:h="15840"/>
          <w:pgMar w:top="1440" w:right="720" w:bottom="1440" w:left="1440" w:header="720" w:footer="720" w:gutter="0"/>
          <w:cols w:space="576"/>
          <w:docGrid w:linePitch="360"/>
        </w:sectPr>
      </w:pPr>
    </w:p>
    <w:p w14:paraId="6F0E2322" w14:textId="77777777" w:rsidR="004B0C12" w:rsidRDefault="00902EB1" w:rsidP="004B0C12">
      <w:pPr>
        <w:spacing w:line="240" w:lineRule="auto"/>
        <w:rPr>
          <w:rFonts w:ascii="Times New Roman" w:hAnsi="Times New Roman" w:cs="Times New Roman"/>
          <w:sz w:val="24"/>
          <w:szCs w:val="24"/>
        </w:rPr>
      </w:pPr>
      <w:r w:rsidRPr="00E63842">
        <w:rPr>
          <w:rFonts w:ascii="Times New Roman" w:hAnsi="Times New Roman" w:cs="Times New Roman"/>
          <w:sz w:val="24"/>
          <w:szCs w:val="24"/>
        </w:rPr>
        <w:t xml:space="preserve">Neurological conditions, such as intracranial </w:t>
      </w:r>
      <w:r w:rsidR="000D7CFC" w:rsidRPr="00E63842">
        <w:rPr>
          <w:rFonts w:ascii="Times New Roman" w:hAnsi="Times New Roman" w:cs="Times New Roman"/>
          <w:sz w:val="24"/>
          <w:szCs w:val="24"/>
        </w:rPr>
        <w:t>hemorrhage</w:t>
      </w:r>
      <w:r w:rsidRPr="00E63842">
        <w:rPr>
          <w:rFonts w:ascii="Times New Roman" w:hAnsi="Times New Roman" w:cs="Times New Roman"/>
          <w:sz w:val="24"/>
          <w:szCs w:val="24"/>
        </w:rPr>
        <w:t>, contributed to the death rate of 4.5 % (3 deaths), and HIV-related complications contributed to 10.4 % (7 deaths)</w:t>
      </w:r>
      <w:r w:rsidR="007100AA">
        <w:rPr>
          <w:rFonts w:ascii="Times New Roman" w:hAnsi="Times New Roman" w:cs="Times New Roman"/>
          <w:sz w:val="24"/>
          <w:szCs w:val="24"/>
        </w:rPr>
        <w:t>.</w:t>
      </w:r>
      <w:r w:rsidRPr="00E63842">
        <w:rPr>
          <w:rFonts w:ascii="Times New Roman" w:hAnsi="Times New Roman" w:cs="Times New Roman"/>
          <w:sz w:val="24"/>
          <w:szCs w:val="24"/>
        </w:rPr>
        <w:t xml:space="preserve"> </w:t>
      </w:r>
      <w:r w:rsidR="007100AA">
        <w:rPr>
          <w:rFonts w:ascii="Times New Roman" w:hAnsi="Times New Roman" w:cs="Times New Roman"/>
          <w:sz w:val="24"/>
          <w:szCs w:val="24"/>
        </w:rPr>
        <w:t>A</w:t>
      </w:r>
      <w:r w:rsidRPr="00E63842">
        <w:rPr>
          <w:rFonts w:ascii="Times New Roman" w:hAnsi="Times New Roman" w:cs="Times New Roman"/>
          <w:sz w:val="24"/>
          <w:szCs w:val="24"/>
        </w:rPr>
        <w:t xml:space="preserve">nd this resulted in the refusal of </w:t>
      </w:r>
      <w:r w:rsidR="00541911">
        <w:rPr>
          <w:rFonts w:ascii="Times New Roman" w:hAnsi="Times New Roman" w:cs="Times New Roman"/>
          <w:sz w:val="24"/>
          <w:szCs w:val="24"/>
        </w:rPr>
        <w:t>CD</w:t>
      </w:r>
      <w:r w:rsidRPr="00E63842">
        <w:rPr>
          <w:rFonts w:ascii="Times New Roman" w:hAnsi="Times New Roman" w:cs="Times New Roman"/>
          <w:sz w:val="24"/>
          <w:szCs w:val="24"/>
        </w:rPr>
        <w:t xml:space="preserve"> in modern times despite treatment access. The proportion of deaths due to congestive heart failure and acute kidney failure was 7.5 % (5 deaths), indicating the growing deaths in relation to </w:t>
      </w:r>
      <w:r w:rsidR="00541911">
        <w:rPr>
          <w:rFonts w:ascii="Times New Roman" w:hAnsi="Times New Roman" w:cs="Times New Roman"/>
          <w:sz w:val="24"/>
          <w:szCs w:val="24"/>
        </w:rPr>
        <w:t>NCDS</w:t>
      </w:r>
      <w:r w:rsidRPr="00E63842">
        <w:rPr>
          <w:rFonts w:ascii="Times New Roman" w:hAnsi="Times New Roman" w:cs="Times New Roman"/>
          <w:sz w:val="24"/>
          <w:szCs w:val="24"/>
        </w:rPr>
        <w:t xml:space="preserve"> in Ethiopian hospitals. </w:t>
      </w:r>
    </w:p>
    <w:p w14:paraId="5E5AD629" w14:textId="77777777" w:rsidR="004B0C12" w:rsidRDefault="004B0C12" w:rsidP="004B0C12">
      <w:pPr>
        <w:spacing w:line="240" w:lineRule="auto"/>
        <w:rPr>
          <w:rFonts w:ascii="Times New Roman" w:hAnsi="Times New Roman" w:cs="Times New Roman"/>
          <w:sz w:val="24"/>
          <w:szCs w:val="24"/>
        </w:rPr>
      </w:pPr>
    </w:p>
    <w:p w14:paraId="01BF5DF3" w14:textId="77777777" w:rsidR="004B0C12" w:rsidRDefault="00902EB1" w:rsidP="004B0C12">
      <w:pPr>
        <w:spacing w:line="240" w:lineRule="auto"/>
        <w:rPr>
          <w:rFonts w:ascii="Times New Roman" w:hAnsi="Times New Roman" w:cs="Times New Roman"/>
          <w:sz w:val="24"/>
          <w:szCs w:val="24"/>
        </w:rPr>
      </w:pPr>
      <w:r w:rsidRPr="00E63842">
        <w:rPr>
          <w:rFonts w:ascii="Times New Roman" w:hAnsi="Times New Roman" w:cs="Times New Roman"/>
          <w:sz w:val="24"/>
          <w:szCs w:val="24"/>
        </w:rPr>
        <w:t xml:space="preserve"> Overall, the findings (Figure 1) indicate that CDs remain one of the greatest causes of mortality, and </w:t>
      </w:r>
      <w:r w:rsidR="00541911" w:rsidRPr="00E63842">
        <w:rPr>
          <w:rFonts w:ascii="Times New Roman" w:hAnsi="Times New Roman" w:cs="Times New Roman"/>
          <w:sz w:val="24"/>
          <w:szCs w:val="24"/>
        </w:rPr>
        <w:t xml:space="preserve">amongst </w:t>
      </w:r>
      <w:r w:rsidR="00541911">
        <w:rPr>
          <w:rFonts w:ascii="Times New Roman" w:hAnsi="Times New Roman" w:cs="Times New Roman"/>
          <w:sz w:val="24"/>
          <w:szCs w:val="24"/>
        </w:rPr>
        <w:t>disorders</w:t>
      </w:r>
      <w:r w:rsidRPr="00E63842">
        <w:rPr>
          <w:rFonts w:ascii="Times New Roman" w:hAnsi="Times New Roman" w:cs="Times New Roman"/>
          <w:sz w:val="24"/>
          <w:szCs w:val="24"/>
        </w:rPr>
        <w:t xml:space="preserve"> </w:t>
      </w:r>
      <w:r w:rsidR="00E63842" w:rsidRPr="00E63842">
        <w:rPr>
          <w:rFonts w:ascii="Times New Roman" w:hAnsi="Times New Roman" w:cs="Times New Roman"/>
          <w:sz w:val="24"/>
          <w:szCs w:val="24"/>
        </w:rPr>
        <w:t>categorized</w:t>
      </w:r>
      <w:r w:rsidRPr="00E63842">
        <w:rPr>
          <w:rFonts w:ascii="Times New Roman" w:hAnsi="Times New Roman" w:cs="Times New Roman"/>
          <w:sz w:val="24"/>
          <w:szCs w:val="24"/>
        </w:rPr>
        <w:t xml:space="preserve"> as TB-related difficulty (diseases including pulmonary </w:t>
      </w:r>
      <w:r w:rsidR="00541911" w:rsidRPr="00E63842">
        <w:rPr>
          <w:rFonts w:ascii="Times New Roman" w:hAnsi="Times New Roman" w:cs="Times New Roman"/>
          <w:sz w:val="24"/>
          <w:szCs w:val="24"/>
        </w:rPr>
        <w:t xml:space="preserve">tuberculosis, </w:t>
      </w:r>
      <w:r w:rsidR="00541911">
        <w:rPr>
          <w:rFonts w:ascii="Times New Roman" w:hAnsi="Times New Roman" w:cs="Times New Roman"/>
          <w:sz w:val="24"/>
          <w:szCs w:val="24"/>
        </w:rPr>
        <w:t>tuberculous</w:t>
      </w:r>
      <w:r w:rsidRPr="00E63842">
        <w:rPr>
          <w:rFonts w:ascii="Times New Roman" w:hAnsi="Times New Roman" w:cs="Times New Roman"/>
          <w:sz w:val="24"/>
          <w:szCs w:val="24"/>
        </w:rPr>
        <w:t xml:space="preserve"> meningitis, and tuberculosis of other organs or sites), they make major contributions to death rates. HIV/AIDS, both with and without TB complications, contribute a lot to the death rate. All these </w:t>
      </w:r>
      <w:r w:rsidR="00541911">
        <w:rPr>
          <w:rFonts w:ascii="Times New Roman" w:hAnsi="Times New Roman" w:cs="Times New Roman"/>
          <w:sz w:val="24"/>
          <w:szCs w:val="24"/>
        </w:rPr>
        <w:t>CDS</w:t>
      </w:r>
      <w:r w:rsidRPr="00E63842">
        <w:rPr>
          <w:rFonts w:ascii="Times New Roman" w:hAnsi="Times New Roman" w:cs="Times New Roman"/>
          <w:sz w:val="24"/>
          <w:szCs w:val="24"/>
        </w:rPr>
        <w:t xml:space="preserve"> have a considerable rate of mortality on their own, which shows the disease has continued to have an impact in clinical settings. On the other hand, NCDs encompassing chronic liver disease, congestive heart failure, acute renal failure, intracerebral and subarachnoid </w:t>
      </w:r>
      <w:r w:rsidR="000D7CFC" w:rsidRPr="00E63842">
        <w:rPr>
          <w:rFonts w:ascii="Times New Roman" w:hAnsi="Times New Roman" w:cs="Times New Roman"/>
          <w:sz w:val="24"/>
          <w:szCs w:val="24"/>
        </w:rPr>
        <w:t>hemorrhage</w:t>
      </w:r>
      <w:r w:rsidRPr="00E63842">
        <w:rPr>
          <w:rFonts w:ascii="Times New Roman" w:hAnsi="Times New Roman" w:cs="Times New Roman"/>
          <w:sz w:val="24"/>
          <w:szCs w:val="24"/>
        </w:rPr>
        <w:t xml:space="preserve">, megaloblastic </w:t>
      </w:r>
      <w:r w:rsidR="000D7CFC" w:rsidRPr="00E63842">
        <w:rPr>
          <w:rFonts w:ascii="Times New Roman" w:hAnsi="Times New Roman" w:cs="Times New Roman"/>
          <w:sz w:val="24"/>
          <w:szCs w:val="24"/>
        </w:rPr>
        <w:t>anemia</w:t>
      </w:r>
      <w:r w:rsidRPr="00E63842">
        <w:rPr>
          <w:rFonts w:ascii="Times New Roman" w:hAnsi="Times New Roman" w:cs="Times New Roman"/>
          <w:sz w:val="24"/>
          <w:szCs w:val="24"/>
        </w:rPr>
        <w:t xml:space="preserve"> because of vitamin B12 deficiency, and other neural complications contribute a major proportion of deaths.</w:t>
      </w:r>
    </w:p>
    <w:p w14:paraId="43234590" w14:textId="321243CA" w:rsidR="00A972CE" w:rsidRDefault="00A972CE" w:rsidP="004B0C12">
      <w:pPr>
        <w:spacing w:after="240" w:line="240" w:lineRule="auto"/>
        <w:rPr>
          <w:rFonts w:ascii="Segoe UI" w:hAnsi="Segoe UI" w:cs="Segoe UI"/>
          <w:b/>
          <w:color w:val="000099"/>
          <w:sz w:val="32"/>
          <w:szCs w:val="24"/>
        </w:rPr>
      </w:pPr>
      <w:r w:rsidRPr="00D82414">
        <w:rPr>
          <w:rFonts w:ascii="Segoe UI" w:hAnsi="Segoe UI" w:cs="Segoe UI"/>
          <w:b/>
          <w:color w:val="000099"/>
          <w:sz w:val="32"/>
          <w:szCs w:val="24"/>
        </w:rPr>
        <w:t>Discussion</w:t>
      </w:r>
    </w:p>
    <w:p w14:paraId="0B69284E" w14:textId="7111E5B4" w:rsidR="000343DB" w:rsidRPr="000343DB" w:rsidRDefault="000343DB" w:rsidP="000343DB">
      <w:pPr>
        <w:spacing w:after="100" w:afterAutospacing="1"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 xml:space="preserve">This study provides a detailed analysis of medical admission patterns, etiological factors, and patient outcomes at </w:t>
      </w:r>
      <w:r w:rsidR="00AB348F">
        <w:rPr>
          <w:rFonts w:ascii="Times New Roman" w:eastAsia="Times New Roman" w:hAnsi="Times New Roman" w:cs="Times New Roman"/>
          <w:sz w:val="24"/>
          <w:szCs w:val="24"/>
          <w:lang w:val="en-GB" w:eastAsia="en-GB"/>
        </w:rPr>
        <w:t>HUCSH</w:t>
      </w:r>
      <w:r w:rsidRPr="000343DB">
        <w:rPr>
          <w:rFonts w:ascii="Times New Roman" w:eastAsia="Times New Roman" w:hAnsi="Times New Roman" w:cs="Times New Roman"/>
          <w:sz w:val="24"/>
          <w:szCs w:val="24"/>
          <w:lang w:val="en-GB" w:eastAsia="en-GB"/>
        </w:rPr>
        <w:t xml:space="preserve">, reflecting the complex interaction between </w:t>
      </w:r>
      <w:r w:rsidR="00AB348F">
        <w:rPr>
          <w:rFonts w:ascii="Times New Roman" w:eastAsia="Times New Roman" w:hAnsi="Times New Roman" w:cs="Times New Roman"/>
          <w:sz w:val="24"/>
          <w:szCs w:val="24"/>
          <w:lang w:val="en-GB" w:eastAsia="en-GB"/>
        </w:rPr>
        <w:t>CDs</w:t>
      </w:r>
      <w:r w:rsidRPr="000343DB">
        <w:rPr>
          <w:rFonts w:ascii="Times New Roman" w:eastAsia="Times New Roman" w:hAnsi="Times New Roman" w:cs="Times New Roman"/>
          <w:sz w:val="24"/>
          <w:szCs w:val="24"/>
          <w:lang w:val="en-GB" w:eastAsia="en-GB"/>
        </w:rPr>
        <w:t xml:space="preserve"> and </w:t>
      </w:r>
      <w:r w:rsidR="00AB348F">
        <w:rPr>
          <w:rFonts w:ascii="Times New Roman" w:eastAsia="Times New Roman" w:hAnsi="Times New Roman" w:cs="Times New Roman"/>
          <w:sz w:val="24"/>
          <w:szCs w:val="24"/>
          <w:lang w:val="en-GB" w:eastAsia="en-GB"/>
        </w:rPr>
        <w:t>NCDs</w:t>
      </w:r>
      <w:r w:rsidRPr="000343DB">
        <w:rPr>
          <w:rFonts w:ascii="Times New Roman" w:eastAsia="Times New Roman" w:hAnsi="Times New Roman" w:cs="Times New Roman"/>
          <w:sz w:val="24"/>
          <w:szCs w:val="24"/>
          <w:lang w:val="en-GB" w:eastAsia="en-GB"/>
        </w:rPr>
        <w:t xml:space="preserve"> among Ethiopia's ongoing epidemiological transition. The sociodemographic profile of the admitted patients revealed almost a balanced gender distribution (49.7% male, 50.3% female), with a predominance of middle-aged adults (36-45 years). A significant proportion of patients (75.8%) were urban residents, aligning with findings that urban areas generally have better healthcare access </w:t>
      </w:r>
      <w:r w:rsidR="00B46860">
        <w:rPr>
          <w:rFonts w:ascii="Times New Roman" w:eastAsia="Times New Roman" w:hAnsi="Times New Roman" w:cs="Times New Roman"/>
          <w:sz w:val="24"/>
          <w:szCs w:val="24"/>
          <w:lang w:val="en-GB" w:eastAsia="en-GB"/>
        </w:rPr>
        <w:t>(1)</w:t>
      </w:r>
      <w:r w:rsidRPr="000343DB">
        <w:rPr>
          <w:rFonts w:ascii="Times New Roman" w:eastAsia="Times New Roman" w:hAnsi="Times New Roman" w:cs="Times New Roman"/>
          <w:sz w:val="24"/>
          <w:szCs w:val="24"/>
          <w:lang w:val="en-GB" w:eastAsia="en-GB"/>
        </w:rPr>
        <w:t>. This contrasts with studies in rural sub-Saharan Africa, where access to healthcare facilities is significantly lower, with a considerable percentage of the population residing more than three hours away from a health post</w:t>
      </w:r>
      <w:r w:rsidR="00B46860">
        <w:rPr>
          <w:rFonts w:ascii="Times New Roman" w:eastAsia="Times New Roman" w:hAnsi="Times New Roman" w:cs="Times New Roman"/>
          <w:sz w:val="24"/>
          <w:szCs w:val="24"/>
          <w:lang w:val="en-GB" w:eastAsia="en-GB"/>
        </w:rPr>
        <w:t xml:space="preserve"> (1).</w:t>
      </w:r>
    </w:p>
    <w:p w14:paraId="05275863" w14:textId="703FF9D3" w:rsidR="004B0C12" w:rsidRDefault="000343DB" w:rsidP="004B0C12">
      <w:pPr>
        <w:spacing w:before="100" w:beforeAutospacing="1" w:after="100" w:afterAutospacing="1"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 xml:space="preserve">Infectious and parasitic diseases (ICD A/B) remained the leading cause of admissions (25.0%), consistent with the high burden of </w:t>
      </w:r>
      <w:r w:rsidR="001B4873">
        <w:rPr>
          <w:rFonts w:ascii="Times New Roman" w:eastAsia="Times New Roman" w:hAnsi="Times New Roman" w:cs="Times New Roman"/>
          <w:sz w:val="24"/>
          <w:szCs w:val="24"/>
          <w:lang w:val="en-GB" w:eastAsia="en-GB"/>
        </w:rPr>
        <w:t>CDs</w:t>
      </w:r>
      <w:r w:rsidRPr="000343DB">
        <w:rPr>
          <w:rFonts w:ascii="Times New Roman" w:eastAsia="Times New Roman" w:hAnsi="Times New Roman" w:cs="Times New Roman"/>
          <w:sz w:val="24"/>
          <w:szCs w:val="24"/>
          <w:lang w:val="en-GB" w:eastAsia="en-GB"/>
        </w:rPr>
        <w:t xml:space="preserve"> in sub-Saharan Africa </w:t>
      </w:r>
      <w:r w:rsidR="00B46860">
        <w:rPr>
          <w:rFonts w:ascii="Times New Roman" w:eastAsia="Times New Roman" w:hAnsi="Times New Roman" w:cs="Times New Roman"/>
          <w:sz w:val="24"/>
          <w:szCs w:val="24"/>
          <w:lang w:val="en-GB" w:eastAsia="en-GB"/>
        </w:rPr>
        <w:t>(10,11)</w:t>
      </w:r>
      <w:r w:rsidRPr="000343DB">
        <w:rPr>
          <w:rFonts w:ascii="Times New Roman" w:eastAsia="Times New Roman" w:hAnsi="Times New Roman" w:cs="Times New Roman"/>
          <w:sz w:val="24"/>
          <w:szCs w:val="24"/>
          <w:lang w:val="en-GB" w:eastAsia="en-GB"/>
        </w:rPr>
        <w:t xml:space="preserve">. The WHO reports that TB was the second leading infectious disease killer worldwide in 2022, after COVID-19 </w:t>
      </w:r>
      <w:r w:rsidR="00B46860">
        <w:rPr>
          <w:rFonts w:ascii="Times New Roman" w:eastAsia="Times New Roman" w:hAnsi="Times New Roman" w:cs="Times New Roman"/>
          <w:sz w:val="24"/>
          <w:szCs w:val="24"/>
          <w:lang w:val="en-GB" w:eastAsia="en-GB"/>
        </w:rPr>
        <w:t xml:space="preserve"> (11).</w:t>
      </w:r>
    </w:p>
    <w:p w14:paraId="16B41261" w14:textId="77777777" w:rsidR="004B0C12" w:rsidRDefault="004B0C12" w:rsidP="004B0C12">
      <w:pPr>
        <w:spacing w:before="100" w:beforeAutospacing="1" w:after="100" w:afterAutospacing="1" w:line="240" w:lineRule="auto"/>
        <w:rPr>
          <w:rFonts w:ascii="Times New Roman" w:eastAsia="Times New Roman" w:hAnsi="Times New Roman" w:cs="Times New Roman"/>
          <w:sz w:val="24"/>
          <w:szCs w:val="24"/>
          <w:lang w:val="en-GB" w:eastAsia="en-GB"/>
        </w:rPr>
        <w:sectPr w:rsidR="004B0C12" w:rsidSect="00AE2B69">
          <w:type w:val="continuous"/>
          <w:pgSz w:w="12240" w:h="15840"/>
          <w:pgMar w:top="1440" w:right="720" w:bottom="1440" w:left="1440" w:header="720" w:footer="720" w:gutter="0"/>
          <w:cols w:num="2" w:space="576"/>
          <w:docGrid w:linePitch="360"/>
        </w:sectPr>
      </w:pPr>
    </w:p>
    <w:p w14:paraId="2980EEB6" w14:textId="06558C7B" w:rsidR="004B0C12" w:rsidRDefault="00AB348F" w:rsidP="004B0C12">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Pr>
          <w:noProof/>
        </w:rPr>
        <w:drawing>
          <wp:inline distT="0" distB="0" distL="0" distR="0" wp14:anchorId="1AFAF09A" wp14:editId="10F7E3CA">
            <wp:extent cx="5981700" cy="4076700"/>
            <wp:effectExtent l="0" t="0" r="0" b="0"/>
            <wp:docPr id="299583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83971" name=""/>
                    <pic:cNvPicPr/>
                  </pic:nvPicPr>
                  <pic:blipFill rotWithShape="1">
                    <a:blip r:embed="rId11"/>
                    <a:srcRect l="4315" t="2030" r="2233" b="2782"/>
                    <a:stretch>
                      <a:fillRect/>
                    </a:stretch>
                  </pic:blipFill>
                  <pic:spPr bwMode="auto">
                    <a:xfrm>
                      <a:off x="0" y="0"/>
                      <a:ext cx="5981700" cy="4076700"/>
                    </a:xfrm>
                    <a:prstGeom prst="rect">
                      <a:avLst/>
                    </a:prstGeom>
                    <a:ln>
                      <a:noFill/>
                    </a:ln>
                    <a:extLst>
                      <a:ext uri="{53640926-AAD7-44D8-BBD7-CCE9431645EC}">
                        <a14:shadowObscured xmlns:a14="http://schemas.microsoft.com/office/drawing/2010/main"/>
                      </a:ext>
                    </a:extLst>
                  </pic:spPr>
                </pic:pic>
              </a:graphicData>
            </a:graphic>
          </wp:inline>
        </w:drawing>
      </w:r>
    </w:p>
    <w:p w14:paraId="47683676" w14:textId="77777777" w:rsidR="004B0C12" w:rsidRDefault="004B0C12" w:rsidP="004B0C12">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4B0C12">
        <w:rPr>
          <w:rFonts w:ascii="Times New Roman" w:eastAsia="Times New Roman" w:hAnsi="Times New Roman" w:cs="Times New Roman"/>
          <w:sz w:val="24"/>
          <w:szCs w:val="24"/>
          <w:lang w:val="en-GB" w:eastAsia="en-GB"/>
        </w:rPr>
        <w:t>Figure 1: Leading causes of in-hospital mortality among adult medical patients (N = 67 deaths).</w:t>
      </w:r>
    </w:p>
    <w:p w14:paraId="1531C0F3" w14:textId="4D961E3A" w:rsidR="004B0C12" w:rsidRDefault="004B0C12" w:rsidP="004B0C12">
      <w:pPr>
        <w:spacing w:before="100" w:beforeAutospacing="1" w:after="100" w:afterAutospacing="1" w:line="240" w:lineRule="auto"/>
        <w:rPr>
          <w:rFonts w:ascii="Times New Roman" w:eastAsia="Times New Roman" w:hAnsi="Times New Roman" w:cs="Times New Roman"/>
          <w:sz w:val="24"/>
          <w:szCs w:val="24"/>
          <w:lang w:val="en-GB" w:eastAsia="en-GB"/>
        </w:rPr>
        <w:sectPr w:rsidR="004B0C12" w:rsidSect="004B0C12">
          <w:type w:val="continuous"/>
          <w:pgSz w:w="12240" w:h="15840"/>
          <w:pgMar w:top="1440" w:right="720" w:bottom="1440" w:left="1440" w:header="720" w:footer="720" w:gutter="0"/>
          <w:cols w:space="576"/>
          <w:docGrid w:linePitch="360"/>
        </w:sectPr>
      </w:pPr>
    </w:p>
    <w:p w14:paraId="55464B0F" w14:textId="36A7DD7D" w:rsidR="004B0C12" w:rsidRDefault="000343DB" w:rsidP="004B0C12">
      <w:pPr>
        <w:spacing w:before="100" w:beforeAutospacing="1" w:after="100" w:afterAutospacing="1" w:line="240" w:lineRule="auto"/>
        <w:rPr>
          <w:rFonts w:ascii="Times New Roman" w:eastAsia="Calibri" w:hAnsi="Times New Roman" w:cs="Times New Roman"/>
          <w:sz w:val="24"/>
          <w:szCs w:val="24"/>
          <w:lang w:val="en-GB"/>
        </w:rPr>
      </w:pPr>
      <w:r w:rsidRPr="000343DB">
        <w:rPr>
          <w:rFonts w:ascii="Times New Roman" w:eastAsia="Times New Roman" w:hAnsi="Times New Roman" w:cs="Times New Roman"/>
          <w:sz w:val="24"/>
          <w:szCs w:val="24"/>
          <w:lang w:val="en-GB" w:eastAsia="en-GB"/>
        </w:rPr>
        <w:t xml:space="preserve">Increased risk of cardiovascular diseases in Ethiopia and other similar environments has been extensively noted, and hypertension and its resultant heart failure are among the most frequent cases that can lead to hospitalisation </w:t>
      </w:r>
      <w:r w:rsidR="00B46860">
        <w:rPr>
          <w:rFonts w:ascii="Times New Roman" w:eastAsia="Times New Roman" w:hAnsi="Times New Roman" w:cs="Times New Roman"/>
          <w:sz w:val="24"/>
          <w:szCs w:val="24"/>
          <w:lang w:val="en-GB" w:eastAsia="en-GB"/>
        </w:rPr>
        <w:t>(12).</w:t>
      </w:r>
      <w:r w:rsidRPr="000343DB">
        <w:rPr>
          <w:rFonts w:ascii="Times New Roman" w:eastAsia="Times New Roman" w:hAnsi="Times New Roman" w:cs="Times New Roman"/>
          <w:sz w:val="24"/>
          <w:szCs w:val="24"/>
          <w:lang w:val="en-GB" w:eastAsia="en-GB"/>
        </w:rPr>
        <w:t xml:space="preserve"> In addition to this, the substantial proportion of admissions due to circulatory system diseases (18.2%) and genitourinary conditions (12.4%) highlights the increasing impact of</w:t>
      </w:r>
      <w:r w:rsidR="001B4873">
        <w:rPr>
          <w:rFonts w:ascii="Times New Roman" w:eastAsia="Times New Roman" w:hAnsi="Times New Roman" w:cs="Times New Roman"/>
          <w:sz w:val="24"/>
          <w:szCs w:val="24"/>
          <w:lang w:val="en-GB" w:eastAsia="en-GB"/>
        </w:rPr>
        <w:t xml:space="preserve"> </w:t>
      </w:r>
      <w:r w:rsidRPr="000343DB">
        <w:rPr>
          <w:rFonts w:ascii="Times New Roman" w:eastAsia="Times New Roman" w:hAnsi="Times New Roman" w:cs="Times New Roman"/>
          <w:sz w:val="24"/>
          <w:szCs w:val="24"/>
          <w:lang w:val="en-GB" w:eastAsia="en-GB"/>
        </w:rPr>
        <w:t xml:space="preserve">NCDs </w:t>
      </w:r>
      <w:r w:rsidR="00B46860">
        <w:rPr>
          <w:rFonts w:ascii="Times New Roman" w:eastAsia="Times New Roman" w:hAnsi="Times New Roman" w:cs="Times New Roman"/>
          <w:sz w:val="24"/>
          <w:szCs w:val="24"/>
          <w:lang w:val="en-GB" w:eastAsia="en-GB"/>
        </w:rPr>
        <w:t>(13,14)</w:t>
      </w:r>
      <w:r w:rsidRPr="000343DB">
        <w:rPr>
          <w:rFonts w:ascii="Times New Roman" w:eastAsia="Times New Roman" w:hAnsi="Times New Roman" w:cs="Times New Roman"/>
          <w:sz w:val="24"/>
          <w:szCs w:val="24"/>
          <w:lang w:val="en-GB" w:eastAsia="en-GB"/>
        </w:rPr>
        <w:t xml:space="preserve">. This epidemiological shift, driven by urbanisation, lifestyle changes, and ageing populations, mirrors patterns observed across the African continent </w:t>
      </w:r>
      <w:r w:rsidR="00B46860">
        <w:rPr>
          <w:rFonts w:ascii="Times New Roman" w:eastAsia="Times New Roman" w:hAnsi="Times New Roman" w:cs="Times New Roman"/>
          <w:sz w:val="24"/>
          <w:szCs w:val="24"/>
          <w:lang w:val="en-GB" w:eastAsia="en-GB"/>
        </w:rPr>
        <w:t>(15, 16)</w:t>
      </w:r>
      <w:r w:rsidRPr="000343DB">
        <w:rPr>
          <w:rFonts w:ascii="Times New Roman" w:eastAsia="Times New Roman" w:hAnsi="Times New Roman" w:cs="Times New Roman"/>
          <w:sz w:val="24"/>
          <w:szCs w:val="24"/>
          <w:lang w:val="en-GB" w:eastAsia="en-GB"/>
        </w:rPr>
        <w:t>. NCDs are projected to overtake communicable, maternal, neonatal, and nutritional diseases as the leading cause of mortality in Africa by 2030</w:t>
      </w:r>
      <w:r w:rsidRPr="000343DB">
        <w:rPr>
          <w:rFonts w:ascii="Times New Roman" w:eastAsia="Calibri" w:hAnsi="Times New Roman" w:cs="Times New Roman"/>
          <w:sz w:val="24"/>
          <w:szCs w:val="24"/>
          <w:lang w:val="en-GB"/>
        </w:rPr>
        <w:t xml:space="preserve"> </w:t>
      </w:r>
      <w:r w:rsidR="00B46860">
        <w:rPr>
          <w:rFonts w:ascii="Times New Roman" w:eastAsia="Calibri" w:hAnsi="Times New Roman" w:cs="Times New Roman"/>
          <w:sz w:val="24"/>
          <w:szCs w:val="24"/>
          <w:lang w:val="en-GB"/>
        </w:rPr>
        <w:t>(17,18)</w:t>
      </w:r>
      <w:r w:rsidRPr="000343DB">
        <w:rPr>
          <w:rFonts w:ascii="Times New Roman" w:eastAsia="Calibri" w:hAnsi="Times New Roman" w:cs="Times New Roman"/>
          <w:sz w:val="24"/>
          <w:szCs w:val="24"/>
          <w:lang w:val="en-GB"/>
        </w:rPr>
        <w:t>.</w:t>
      </w:r>
      <w:r w:rsidR="004B0C12">
        <w:rPr>
          <w:rFonts w:ascii="Times New Roman" w:eastAsia="Calibri" w:hAnsi="Times New Roman" w:cs="Times New Roman"/>
          <w:sz w:val="24"/>
          <w:szCs w:val="24"/>
          <w:lang w:val="en-GB"/>
        </w:rPr>
        <w:t xml:space="preserve"> </w:t>
      </w:r>
    </w:p>
    <w:p w14:paraId="09929B93" w14:textId="287A12D8" w:rsidR="000343DB" w:rsidRPr="004B0C12" w:rsidRDefault="000343DB" w:rsidP="004B0C12">
      <w:pPr>
        <w:spacing w:before="100" w:beforeAutospacing="1" w:after="100" w:afterAutospacing="1"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 xml:space="preserve">Disease-specific analysis revealed that congestive heart failure (7.8%), acute kidney failure (7.2%), and tuberculosis of other specified organs (7.2%) were the most common diagnoses. This pattern aligns with findings from other Ethiopian hospitals and reflects the broader challenges in managing both infectious diseases and the rising prevalence of NCDs </w:t>
      </w:r>
      <w:r w:rsidR="00B46860">
        <w:rPr>
          <w:rFonts w:ascii="Times New Roman" w:eastAsia="Times New Roman" w:hAnsi="Times New Roman" w:cs="Times New Roman"/>
          <w:sz w:val="24"/>
          <w:szCs w:val="24"/>
          <w:lang w:val="en-GB" w:eastAsia="en-GB"/>
        </w:rPr>
        <w:t>(13,19,20)</w:t>
      </w:r>
      <w:r w:rsidRPr="000343DB">
        <w:rPr>
          <w:rFonts w:ascii="Times New Roman" w:eastAsia="Times New Roman" w:hAnsi="Times New Roman" w:cs="Times New Roman"/>
          <w:sz w:val="24"/>
          <w:szCs w:val="24"/>
          <w:lang w:val="en-GB" w:eastAsia="en-GB"/>
        </w:rPr>
        <w:t>.</w:t>
      </w:r>
      <w:r w:rsidR="004B0C12">
        <w:rPr>
          <w:rFonts w:ascii="Times New Roman" w:eastAsia="Times New Roman" w:hAnsi="Times New Roman" w:cs="Times New Roman"/>
          <w:sz w:val="24"/>
          <w:szCs w:val="24"/>
          <w:lang w:val="en-GB" w:eastAsia="en-GB"/>
        </w:rPr>
        <w:t xml:space="preserve"> </w:t>
      </w:r>
      <w:r w:rsidRPr="000343DB">
        <w:rPr>
          <w:rFonts w:ascii="Times New Roman" w:eastAsia="Calibri" w:hAnsi="Times New Roman" w:cs="Times New Roman"/>
          <w:sz w:val="24"/>
          <w:szCs w:val="24"/>
          <w:lang w:val="en-GB"/>
        </w:rPr>
        <w:t xml:space="preserve">In the present study, statistically significant associations were observed between patient gender and the causes of medical ward admissions for some major diseases, specifically tuberculosis of other specified organ or site, CLD, intracerebral </w:t>
      </w:r>
      <w:r w:rsidR="000D7CFC" w:rsidRPr="000343DB">
        <w:rPr>
          <w:rFonts w:ascii="Times New Roman" w:eastAsia="Calibri" w:hAnsi="Times New Roman" w:cs="Times New Roman"/>
          <w:sz w:val="24"/>
          <w:szCs w:val="24"/>
          <w:lang w:val="en-GB"/>
        </w:rPr>
        <w:t>haemorrhage</w:t>
      </w:r>
      <w:r w:rsidRPr="000343DB">
        <w:rPr>
          <w:rFonts w:ascii="Times New Roman" w:eastAsia="Calibri" w:hAnsi="Times New Roman" w:cs="Times New Roman"/>
          <w:sz w:val="24"/>
          <w:szCs w:val="24"/>
          <w:lang w:val="en-GB"/>
        </w:rPr>
        <w:t>,</w:t>
      </w:r>
      <w:r w:rsidR="000D7CFC">
        <w:rPr>
          <w:rFonts w:ascii="Times New Roman" w:eastAsia="Calibri" w:hAnsi="Times New Roman" w:cs="Times New Roman"/>
          <w:sz w:val="24"/>
          <w:szCs w:val="24"/>
          <w:lang w:val="en-GB"/>
        </w:rPr>
        <w:t xml:space="preserve"> </w:t>
      </w:r>
      <w:r w:rsidRPr="000343DB">
        <w:rPr>
          <w:rFonts w:ascii="Times New Roman" w:eastAsia="Calibri" w:hAnsi="Times New Roman" w:cs="Times New Roman"/>
          <w:sz w:val="24"/>
          <w:szCs w:val="24"/>
          <w:lang w:val="en-GB"/>
        </w:rPr>
        <w:t xml:space="preserve">and tuberculous meningitis (Table:3). Gender related disparities in disease admissions have also been documented in other comparable studies </w:t>
      </w:r>
      <w:r w:rsidR="00B46860">
        <w:rPr>
          <w:rFonts w:ascii="Times New Roman" w:eastAsia="Calibri" w:hAnsi="Times New Roman" w:cs="Times New Roman"/>
          <w:sz w:val="24"/>
          <w:szCs w:val="24"/>
          <w:lang w:val="en-GB"/>
        </w:rPr>
        <w:t>(21, 22, 23)</w:t>
      </w:r>
      <w:r w:rsidRPr="000343DB">
        <w:rPr>
          <w:rFonts w:ascii="Times New Roman" w:eastAsia="Calibri" w:hAnsi="Times New Roman" w:cs="Times New Roman"/>
          <w:sz w:val="24"/>
          <w:szCs w:val="24"/>
          <w:lang w:val="en-GB"/>
        </w:rPr>
        <w:t xml:space="preserve">. </w:t>
      </w:r>
    </w:p>
    <w:p w14:paraId="58670276" w14:textId="44CC5FD8" w:rsidR="000343DB" w:rsidRPr="000343DB" w:rsidRDefault="000343DB" w:rsidP="000343DB">
      <w:pPr>
        <w:spacing w:after="160" w:line="240" w:lineRule="auto"/>
        <w:rPr>
          <w:rFonts w:ascii="Times New Roman" w:eastAsia="Calibri" w:hAnsi="Times New Roman" w:cs="Times New Roman"/>
          <w:sz w:val="24"/>
          <w:szCs w:val="24"/>
          <w:lang w:val="en-GB"/>
        </w:rPr>
      </w:pPr>
      <w:r w:rsidRPr="000343DB">
        <w:rPr>
          <w:rFonts w:ascii="Times New Roman" w:eastAsia="Calibri" w:hAnsi="Times New Roman" w:cs="Times New Roman"/>
          <w:sz w:val="24"/>
          <w:szCs w:val="24"/>
          <w:lang w:val="en-GB"/>
        </w:rPr>
        <w:t xml:space="preserve">Admissions for tuberculosis of other specified organ or site showed a significant gender difference, with females representing 57.5% compared to 42.5% among males (p = 0.036), suggesting a higher burden of extrapulmonary tuberculosis in female patients. Similar findings were observed in a systematic review, with women significantly associated with extrapulmonary TB in middle age </w:t>
      </w:r>
      <w:r w:rsidR="00B46860">
        <w:rPr>
          <w:rFonts w:ascii="Times New Roman" w:eastAsia="Calibri" w:hAnsi="Times New Roman" w:cs="Times New Roman"/>
          <w:sz w:val="24"/>
          <w:szCs w:val="24"/>
          <w:lang w:val="en-GB"/>
        </w:rPr>
        <w:t>(24)</w:t>
      </w:r>
      <w:r w:rsidRPr="000343DB">
        <w:rPr>
          <w:rFonts w:ascii="Times New Roman" w:eastAsia="Calibri" w:hAnsi="Times New Roman" w:cs="Times New Roman"/>
          <w:sz w:val="24"/>
          <w:szCs w:val="24"/>
          <w:lang w:val="en-GB"/>
        </w:rPr>
        <w:t xml:space="preserve">. Conversely, CLD admissions were predominantly male, comprising 65.2% versus 34.8% in females (p = 0.011), reflecting potential gender-related risk factors. Gender disparity and higher rates of chronic liver disease (CLD) admissions and mortality in males than in females were also observed in another study </w:t>
      </w:r>
      <w:r w:rsidR="00B46860">
        <w:rPr>
          <w:rFonts w:ascii="Times New Roman" w:eastAsia="Calibri" w:hAnsi="Times New Roman" w:cs="Times New Roman"/>
          <w:sz w:val="24"/>
          <w:szCs w:val="24"/>
          <w:lang w:val="en-GB"/>
        </w:rPr>
        <w:t>(25)</w:t>
      </w:r>
      <w:r w:rsidRPr="000343DB">
        <w:rPr>
          <w:rFonts w:ascii="Times New Roman" w:eastAsia="Calibri" w:hAnsi="Times New Roman" w:cs="Times New Roman"/>
          <w:sz w:val="24"/>
          <w:szCs w:val="24"/>
          <w:lang w:val="en-GB"/>
        </w:rPr>
        <w:t>.</w:t>
      </w:r>
    </w:p>
    <w:p w14:paraId="38F86628" w14:textId="4BD77762" w:rsidR="004B0C12" w:rsidRDefault="000343DB" w:rsidP="004B0C12">
      <w:pPr>
        <w:spacing w:after="160" w:line="240" w:lineRule="auto"/>
        <w:rPr>
          <w:rFonts w:ascii="Times New Roman" w:eastAsia="Calibri" w:hAnsi="Times New Roman" w:cs="Times New Roman"/>
          <w:sz w:val="24"/>
          <w:szCs w:val="24"/>
          <w:lang w:val="en-GB"/>
        </w:rPr>
      </w:pPr>
      <w:r w:rsidRPr="000343DB">
        <w:rPr>
          <w:rFonts w:ascii="Times New Roman" w:eastAsia="Times New Roman" w:hAnsi="Times New Roman" w:cs="Times New Roman"/>
          <w:sz w:val="24"/>
          <w:szCs w:val="24"/>
          <w:lang w:val="en-GB" w:eastAsia="en-GB"/>
        </w:rPr>
        <w:t>Neurological conditions, including intracerebral haemorrhage and tuberculous meningitis, also featured prominently, particularly among male patients.</w:t>
      </w:r>
      <w:r w:rsidRPr="000343DB">
        <w:rPr>
          <w:rFonts w:ascii="Times New Roman" w:eastAsia="Calibri" w:hAnsi="Times New Roman" w:cs="Times New Roman"/>
          <w:sz w:val="24"/>
          <w:szCs w:val="24"/>
          <w:lang w:val="en-GB"/>
        </w:rPr>
        <w:t xml:space="preserve"> This is comparable to existing trends at Ethiopian hospitals since it is estimated that approximately one-fourth of all cases involving neurological issues are a result of stroke and infections of the central nervous system </w:t>
      </w:r>
      <w:r w:rsidR="00B46860">
        <w:rPr>
          <w:rFonts w:ascii="Times New Roman" w:eastAsia="Calibri" w:hAnsi="Times New Roman" w:cs="Times New Roman"/>
          <w:sz w:val="24"/>
          <w:szCs w:val="24"/>
          <w:lang w:val="en-GB"/>
        </w:rPr>
        <w:t>(26)</w:t>
      </w:r>
      <w:r w:rsidRPr="000343DB">
        <w:rPr>
          <w:rFonts w:ascii="Times New Roman" w:eastAsia="Calibri" w:hAnsi="Times New Roman" w:cs="Times New Roman"/>
          <w:sz w:val="24"/>
          <w:szCs w:val="24"/>
          <w:lang w:val="en-GB"/>
        </w:rPr>
        <w:t xml:space="preserve">. Intracerebral haemorrhage demonstrated a marked male predominance with 73.8% of admissions being male compared to 26.2% female admissions (p = 0.001), indicating greater vulnerability or severity among men. A recent systematic and </w:t>
      </w:r>
      <w:r w:rsidR="000D7CFC" w:rsidRPr="000343DB">
        <w:rPr>
          <w:rFonts w:ascii="Times New Roman" w:eastAsia="Calibri" w:hAnsi="Times New Roman" w:cs="Times New Roman"/>
          <w:sz w:val="24"/>
          <w:szCs w:val="24"/>
          <w:lang w:val="en-GB"/>
        </w:rPr>
        <w:t>multicentre</w:t>
      </w:r>
      <w:r w:rsidRPr="000343DB">
        <w:rPr>
          <w:rFonts w:ascii="Times New Roman" w:eastAsia="Calibri" w:hAnsi="Times New Roman" w:cs="Times New Roman"/>
          <w:sz w:val="24"/>
          <w:szCs w:val="24"/>
          <w:lang w:val="en-GB"/>
        </w:rPr>
        <w:t xml:space="preserve"> study demonstrates that male patients have a higher incidence and admission rate for intracerebral haemorrhage than females </w:t>
      </w:r>
      <w:r w:rsidR="00B46860">
        <w:rPr>
          <w:rFonts w:ascii="Times New Roman" w:eastAsia="Calibri" w:hAnsi="Times New Roman" w:cs="Times New Roman"/>
          <w:sz w:val="24"/>
          <w:szCs w:val="24"/>
          <w:lang w:val="en-GB"/>
        </w:rPr>
        <w:t>(27)</w:t>
      </w:r>
      <w:r w:rsidRPr="000343DB">
        <w:rPr>
          <w:rFonts w:ascii="Times New Roman" w:eastAsia="Calibri" w:hAnsi="Times New Roman" w:cs="Times New Roman"/>
          <w:sz w:val="24"/>
          <w:szCs w:val="24"/>
          <w:lang w:val="en-GB"/>
        </w:rPr>
        <w:t xml:space="preserve">. These results suggest that gender differences are present with respect to increasing or decreasing risks of having certain diseases, which result in medical admissions, and the subject to further clinical and epidemiological research. Similarly, tuberculous meningitis was more frequently observed in males, accounting for 69.7% against 30.3% in females (p = 0.013). The Epidemiological evidence that shows the existence of gender variations in the incidence of tuberculosis (TB) is consistent. In line with this, a study revealed that male individuals are at greater risk of developing TB infection compared to females </w:t>
      </w:r>
      <w:r w:rsidR="00B46860">
        <w:rPr>
          <w:rFonts w:ascii="Times New Roman" w:eastAsia="Calibri" w:hAnsi="Times New Roman" w:cs="Times New Roman"/>
          <w:sz w:val="24"/>
          <w:szCs w:val="24"/>
          <w:lang w:val="en-GB"/>
        </w:rPr>
        <w:t>(22)</w:t>
      </w:r>
      <w:r w:rsidRPr="000343DB">
        <w:rPr>
          <w:rFonts w:ascii="Times New Roman" w:eastAsia="Calibri" w:hAnsi="Times New Roman" w:cs="Times New Roman"/>
          <w:sz w:val="24"/>
          <w:szCs w:val="24"/>
          <w:lang w:val="en-GB"/>
        </w:rPr>
        <w:t xml:space="preserve">. Moreover, modelling studies have reported higher incidences of tuberculous meningitis in males when compared to females, hence further emphasising the persistent and cross-cutting nature of sex-related disparities across different forms of tuberculosis </w:t>
      </w:r>
      <w:r w:rsidR="00B46860">
        <w:rPr>
          <w:rFonts w:ascii="Times New Roman" w:eastAsia="Calibri" w:hAnsi="Times New Roman" w:cs="Times New Roman"/>
          <w:sz w:val="24"/>
          <w:szCs w:val="24"/>
          <w:lang w:val="en-GB"/>
        </w:rPr>
        <w:t>(28)</w:t>
      </w:r>
      <w:r w:rsidRPr="000343DB">
        <w:rPr>
          <w:rFonts w:ascii="Times New Roman" w:eastAsia="Calibri" w:hAnsi="Times New Roman" w:cs="Times New Roman"/>
          <w:sz w:val="24"/>
          <w:szCs w:val="24"/>
          <w:lang w:val="en-GB"/>
        </w:rPr>
        <w:t>.</w:t>
      </w:r>
    </w:p>
    <w:p w14:paraId="6FAA785B" w14:textId="418A6CF3" w:rsidR="000343DB" w:rsidRPr="000343DB" w:rsidRDefault="000343DB" w:rsidP="004B0C12">
      <w:pPr>
        <w:spacing w:after="160"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 xml:space="preserve">Hospital outcomes were generally favourable, with 78.4% of patients improving and being discharged. The median length of stay (7 days) raises questions about the adequacy of treatment for complex cases, given resource constraints and the increasing burden of chronic conditions. Patients with the shortest hospital stay (1-3 days) had the highest mortality rate (11.4%), likely due to being critically ill upon admission or presenting late for care </w:t>
      </w:r>
      <w:r w:rsidR="00B46860">
        <w:rPr>
          <w:rFonts w:ascii="Times New Roman" w:eastAsia="Times New Roman" w:hAnsi="Times New Roman" w:cs="Times New Roman"/>
          <w:sz w:val="24"/>
          <w:szCs w:val="24"/>
          <w:lang w:val="en-GB" w:eastAsia="en-GB"/>
        </w:rPr>
        <w:t>(29)</w:t>
      </w:r>
      <w:r w:rsidRPr="000343DB">
        <w:rPr>
          <w:rFonts w:ascii="Times New Roman" w:eastAsia="Times New Roman" w:hAnsi="Times New Roman" w:cs="Times New Roman"/>
          <w:sz w:val="24"/>
          <w:szCs w:val="24"/>
          <w:lang w:val="en-GB" w:eastAsia="en-GB"/>
        </w:rPr>
        <w:t>.</w:t>
      </w:r>
      <w:r w:rsidR="008050D7">
        <w:rPr>
          <w:rFonts w:ascii="Times New Roman" w:eastAsia="Times New Roman" w:hAnsi="Times New Roman" w:cs="Times New Roman"/>
          <w:sz w:val="24"/>
          <w:szCs w:val="24"/>
          <w:lang w:val="en-GB" w:eastAsia="en-GB"/>
        </w:rPr>
        <w:t xml:space="preserve"> </w:t>
      </w:r>
      <w:r w:rsidRPr="000343DB">
        <w:rPr>
          <w:rFonts w:ascii="Times New Roman" w:eastAsia="Times New Roman" w:hAnsi="Times New Roman" w:cs="Times New Roman"/>
          <w:sz w:val="24"/>
          <w:szCs w:val="24"/>
          <w:lang w:val="en-GB" w:eastAsia="en-GB"/>
        </w:rPr>
        <w:t xml:space="preserve">The mortality rate of 6.0% is comparable to other Ethiopian medical wards </w:t>
      </w:r>
      <w:r w:rsidR="00B46860">
        <w:rPr>
          <w:rFonts w:ascii="Times New Roman" w:eastAsia="Times New Roman" w:hAnsi="Times New Roman" w:cs="Times New Roman"/>
          <w:sz w:val="24"/>
          <w:szCs w:val="24"/>
          <w:lang w:val="en-GB" w:eastAsia="en-GB"/>
        </w:rPr>
        <w:t>(1).</w:t>
      </w:r>
      <w:r w:rsidRPr="000343DB">
        <w:rPr>
          <w:rFonts w:ascii="Times New Roman" w:eastAsia="Times New Roman" w:hAnsi="Times New Roman" w:cs="Times New Roman"/>
          <w:color w:val="FF0000"/>
          <w:sz w:val="24"/>
          <w:szCs w:val="24"/>
          <w:lang w:val="en-GB" w:eastAsia="en-GB"/>
        </w:rPr>
        <w:t xml:space="preserve"> </w:t>
      </w:r>
      <w:r w:rsidRPr="000343DB">
        <w:rPr>
          <w:rFonts w:ascii="Times New Roman" w:eastAsia="Times New Roman" w:hAnsi="Times New Roman" w:cs="Times New Roman"/>
          <w:sz w:val="24"/>
          <w:szCs w:val="24"/>
          <w:lang w:val="en-GB" w:eastAsia="en-GB"/>
        </w:rPr>
        <w:t xml:space="preserve">The leading causes of death are tuberculosis (16.4%), HIV-related complications (10.4%), chronic liver disease (7.5%), congestive heart failure (7.5%), and acute kidney failure (7.5%)-underscore the persistent impact of CDs alongside the growing contribution of NCDs to inpatient mortality </w:t>
      </w:r>
      <w:r w:rsidR="00B46860">
        <w:rPr>
          <w:rFonts w:ascii="Times New Roman" w:eastAsia="Times New Roman" w:hAnsi="Times New Roman" w:cs="Times New Roman"/>
          <w:sz w:val="24"/>
          <w:szCs w:val="24"/>
          <w:lang w:val="en-GB" w:eastAsia="en-GB"/>
        </w:rPr>
        <w:t>(30, 31)</w:t>
      </w:r>
      <w:r w:rsidRPr="000343DB">
        <w:rPr>
          <w:rFonts w:ascii="Times New Roman" w:eastAsia="Times New Roman" w:hAnsi="Times New Roman" w:cs="Times New Roman"/>
          <w:sz w:val="24"/>
          <w:szCs w:val="24"/>
          <w:lang w:val="en-GB" w:eastAsia="en-GB"/>
        </w:rPr>
        <w:t xml:space="preserve">. A meta-analysis of 43 cohort studies in sub-Saharan Africa found a pooled incidence of mortality of 17% among persons receiving second-line tuberculosis treatment </w:t>
      </w:r>
      <w:r w:rsidR="00B46860">
        <w:rPr>
          <w:rFonts w:ascii="Times New Roman" w:eastAsia="Times New Roman" w:hAnsi="Times New Roman" w:cs="Times New Roman"/>
          <w:sz w:val="24"/>
          <w:szCs w:val="24"/>
          <w:lang w:val="en-GB" w:eastAsia="en-GB"/>
        </w:rPr>
        <w:t>(32)</w:t>
      </w:r>
      <w:r w:rsidRPr="000343DB">
        <w:rPr>
          <w:rFonts w:ascii="Times New Roman" w:eastAsia="Times New Roman" w:hAnsi="Times New Roman" w:cs="Times New Roman"/>
          <w:sz w:val="24"/>
          <w:szCs w:val="24"/>
          <w:lang w:val="en-GB" w:eastAsia="en-GB"/>
        </w:rPr>
        <w:t>.</w:t>
      </w:r>
    </w:p>
    <w:p w14:paraId="79D830EC" w14:textId="2A7361C4" w:rsidR="000343DB" w:rsidRPr="000343DB" w:rsidRDefault="000343DB" w:rsidP="000343DB">
      <w:pPr>
        <w:spacing w:before="100" w:beforeAutospacing="1" w:after="100" w:afterAutospacing="1"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 xml:space="preserve">The dual burden of disease observed in this study reflects national and regional patterns, where </w:t>
      </w:r>
      <w:r w:rsidR="00BA720D">
        <w:rPr>
          <w:rFonts w:ascii="Times New Roman" w:eastAsia="Times New Roman" w:hAnsi="Times New Roman" w:cs="Times New Roman"/>
          <w:sz w:val="24"/>
          <w:szCs w:val="24"/>
          <w:lang w:val="en-GB" w:eastAsia="en-GB"/>
        </w:rPr>
        <w:t xml:space="preserve">CDs </w:t>
      </w:r>
      <w:r w:rsidRPr="000343DB">
        <w:rPr>
          <w:rFonts w:ascii="Times New Roman" w:eastAsia="Times New Roman" w:hAnsi="Times New Roman" w:cs="Times New Roman"/>
          <w:sz w:val="24"/>
          <w:szCs w:val="24"/>
          <w:lang w:val="en-GB" w:eastAsia="en-GB"/>
        </w:rPr>
        <w:t xml:space="preserve">remain prevalent but NCDs are rapidly increasing </w:t>
      </w:r>
      <w:r w:rsidR="00B46860">
        <w:rPr>
          <w:rFonts w:ascii="Times New Roman" w:eastAsia="Times New Roman" w:hAnsi="Times New Roman" w:cs="Times New Roman"/>
          <w:sz w:val="24"/>
          <w:szCs w:val="24"/>
          <w:lang w:val="en-GB" w:eastAsia="en-GB"/>
        </w:rPr>
        <w:t>(6, 7)</w:t>
      </w:r>
      <w:r w:rsidRPr="000343DB">
        <w:rPr>
          <w:rFonts w:ascii="Times New Roman" w:eastAsia="Times New Roman" w:hAnsi="Times New Roman" w:cs="Times New Roman"/>
          <w:sz w:val="24"/>
          <w:szCs w:val="24"/>
          <w:lang w:val="en-GB" w:eastAsia="en-GB"/>
        </w:rPr>
        <w:t xml:space="preserve">. The relatively high rates of discharge against medical advice (8.3%) and referrals (7.2%) may indicate gaps in health system capacity, financial barriers, or patient preferences for alternative care </w:t>
      </w:r>
      <w:r w:rsidR="00B46860">
        <w:rPr>
          <w:rFonts w:ascii="Times New Roman" w:eastAsia="Times New Roman" w:hAnsi="Times New Roman" w:cs="Times New Roman"/>
          <w:sz w:val="24"/>
          <w:szCs w:val="24"/>
          <w:lang w:val="en-GB" w:eastAsia="en-GB"/>
        </w:rPr>
        <w:t>(33, 34).</w:t>
      </w:r>
      <w:r w:rsidRPr="000343DB">
        <w:rPr>
          <w:rFonts w:ascii="Times New Roman" w:eastAsia="Times New Roman" w:hAnsi="Times New Roman" w:cs="Times New Roman"/>
          <w:sz w:val="24"/>
          <w:szCs w:val="24"/>
          <w:lang w:val="en-GB" w:eastAsia="en-GB"/>
        </w:rPr>
        <w:t xml:space="preserve"> These issues are compounded by inadequate human resources, insufficient budgetary allocation, and management challenges within the healthcare system</w:t>
      </w:r>
      <w:r w:rsidR="00B46860">
        <w:rPr>
          <w:rFonts w:ascii="Times New Roman" w:eastAsia="Times New Roman" w:hAnsi="Times New Roman" w:cs="Times New Roman"/>
          <w:sz w:val="24"/>
          <w:szCs w:val="24"/>
          <w:lang w:val="en-GB" w:eastAsia="en-GB"/>
        </w:rPr>
        <w:t xml:space="preserve"> (35)</w:t>
      </w:r>
      <w:r w:rsidRPr="000343DB">
        <w:rPr>
          <w:rFonts w:ascii="Times New Roman" w:eastAsia="Times New Roman" w:hAnsi="Times New Roman" w:cs="Times New Roman"/>
          <w:sz w:val="24"/>
          <w:szCs w:val="24"/>
          <w:lang w:val="en-GB" w:eastAsia="en-GB"/>
        </w:rPr>
        <w:t xml:space="preserve">. </w:t>
      </w:r>
      <w:r w:rsidRPr="000343DB">
        <w:rPr>
          <w:rFonts w:ascii="Times New Roman" w:eastAsia="Calibri" w:hAnsi="Times New Roman" w:cs="Times New Roman"/>
          <w:sz w:val="24"/>
          <w:szCs w:val="24"/>
          <w:lang w:val="en-GB"/>
        </w:rPr>
        <w:t xml:space="preserve">In this study, the observed hospital mortality rate among medical ward admissions was 6.0%. This rate is notably lower than previously reported rates from other Ethiopian hospitals, where mortality rates have ranged from 12.6% at Jimma University Specialised Hospital </w:t>
      </w:r>
      <w:r w:rsidR="00B46860">
        <w:rPr>
          <w:rFonts w:ascii="Times New Roman" w:eastAsia="Calibri" w:hAnsi="Times New Roman" w:cs="Times New Roman"/>
          <w:sz w:val="24"/>
          <w:szCs w:val="24"/>
          <w:lang w:val="en-GB"/>
        </w:rPr>
        <w:t>(36)</w:t>
      </w:r>
      <w:r w:rsidRPr="000343DB">
        <w:rPr>
          <w:rFonts w:ascii="Times New Roman" w:eastAsia="Calibri" w:hAnsi="Times New Roman" w:cs="Times New Roman"/>
          <w:sz w:val="24"/>
          <w:szCs w:val="24"/>
          <w:lang w:val="en-GB"/>
        </w:rPr>
        <w:t xml:space="preserve">, 14.9% at Ayder Hospital </w:t>
      </w:r>
      <w:r w:rsidR="00B46860">
        <w:rPr>
          <w:rFonts w:ascii="Times New Roman" w:eastAsia="Calibri" w:hAnsi="Times New Roman" w:cs="Times New Roman"/>
          <w:sz w:val="24"/>
          <w:szCs w:val="24"/>
          <w:lang w:val="en-GB"/>
        </w:rPr>
        <w:t>(19)</w:t>
      </w:r>
      <w:r w:rsidRPr="000343DB">
        <w:rPr>
          <w:rFonts w:ascii="Times New Roman" w:eastAsia="Calibri" w:hAnsi="Times New Roman" w:cs="Times New Roman"/>
          <w:sz w:val="24"/>
          <w:szCs w:val="24"/>
          <w:lang w:val="en-GB"/>
        </w:rPr>
        <w:t>, to as high as 24.2% at Saint Paul Hospital</w:t>
      </w:r>
      <w:r w:rsidR="00B46860">
        <w:rPr>
          <w:rFonts w:ascii="Times New Roman" w:eastAsia="Calibri" w:hAnsi="Times New Roman" w:cs="Times New Roman"/>
          <w:sz w:val="24"/>
          <w:szCs w:val="24"/>
          <w:lang w:val="en-GB"/>
        </w:rPr>
        <w:t xml:space="preserve"> (3)</w:t>
      </w:r>
      <w:r w:rsidRPr="000343DB">
        <w:rPr>
          <w:rFonts w:ascii="Times New Roman" w:eastAsia="Calibri" w:hAnsi="Times New Roman" w:cs="Times New Roman"/>
          <w:sz w:val="24"/>
          <w:szCs w:val="24"/>
          <w:lang w:val="en-GB"/>
        </w:rPr>
        <w:t>.</w:t>
      </w:r>
    </w:p>
    <w:p w14:paraId="3BD5EEF1" w14:textId="57311ED1" w:rsidR="000343DB" w:rsidRPr="000343DB" w:rsidRDefault="000343DB" w:rsidP="0059020B">
      <w:pPr>
        <w:spacing w:before="100" w:beforeAutospacing="1" w:after="100" w:afterAutospacing="1" w:line="240" w:lineRule="auto"/>
        <w:rPr>
          <w:rFonts w:ascii="Times New Roman" w:eastAsia="Times New Roman" w:hAnsi="Times New Roman" w:cs="Times New Roman"/>
          <w:sz w:val="24"/>
          <w:szCs w:val="24"/>
          <w:lang w:val="en-GB" w:eastAsia="en-GB"/>
        </w:rPr>
      </w:pPr>
      <w:r w:rsidRPr="000343DB">
        <w:rPr>
          <w:rFonts w:ascii="Times New Roman" w:eastAsia="Times New Roman" w:hAnsi="Times New Roman" w:cs="Times New Roman"/>
          <w:sz w:val="24"/>
          <w:szCs w:val="24"/>
          <w:lang w:val="en-GB" w:eastAsia="en-GB"/>
        </w:rPr>
        <w:t>Overall, these findings emphasise the need for a health system response that balances infectious disease control with the growing demands of chronic disease management</w:t>
      </w:r>
      <w:r w:rsidR="00B46860">
        <w:rPr>
          <w:rFonts w:ascii="Times New Roman" w:eastAsia="Times New Roman" w:hAnsi="Times New Roman" w:cs="Times New Roman"/>
          <w:sz w:val="24"/>
          <w:szCs w:val="24"/>
          <w:lang w:val="en-GB" w:eastAsia="en-GB"/>
        </w:rPr>
        <w:t xml:space="preserve"> (37, 38)</w:t>
      </w:r>
      <w:r w:rsidRPr="000343DB">
        <w:rPr>
          <w:rFonts w:ascii="Times New Roman" w:eastAsia="Times New Roman" w:hAnsi="Times New Roman" w:cs="Times New Roman"/>
          <w:sz w:val="24"/>
          <w:szCs w:val="24"/>
          <w:lang w:val="en-GB" w:eastAsia="en-GB"/>
        </w:rPr>
        <w:t xml:space="preserve">. Strengthening early detection and integrated care for both </w:t>
      </w:r>
      <w:r w:rsidR="00BA720D">
        <w:rPr>
          <w:rFonts w:ascii="Times New Roman" w:eastAsia="Times New Roman" w:hAnsi="Times New Roman" w:cs="Times New Roman"/>
          <w:sz w:val="24"/>
          <w:szCs w:val="24"/>
          <w:lang w:val="en-GB" w:eastAsia="en-GB"/>
        </w:rPr>
        <w:t>CDs</w:t>
      </w:r>
      <w:r w:rsidRPr="000343DB">
        <w:rPr>
          <w:rFonts w:ascii="Times New Roman" w:eastAsia="Times New Roman" w:hAnsi="Times New Roman" w:cs="Times New Roman"/>
          <w:sz w:val="24"/>
          <w:szCs w:val="24"/>
          <w:lang w:val="en-GB" w:eastAsia="en-GB"/>
        </w:rPr>
        <w:t xml:space="preserve"> and </w:t>
      </w:r>
      <w:r w:rsidR="00BA720D">
        <w:rPr>
          <w:rFonts w:ascii="Times New Roman" w:eastAsia="Times New Roman" w:hAnsi="Times New Roman" w:cs="Times New Roman"/>
          <w:sz w:val="24"/>
          <w:szCs w:val="24"/>
          <w:lang w:val="en-GB" w:eastAsia="en-GB"/>
        </w:rPr>
        <w:t>NCDs</w:t>
      </w:r>
      <w:r w:rsidRPr="000343DB">
        <w:rPr>
          <w:rFonts w:ascii="Times New Roman" w:eastAsia="Times New Roman" w:hAnsi="Times New Roman" w:cs="Times New Roman"/>
          <w:sz w:val="24"/>
          <w:szCs w:val="24"/>
          <w:lang w:val="en-GB" w:eastAsia="en-GB"/>
        </w:rPr>
        <w:t xml:space="preserve"> is essential </w:t>
      </w:r>
      <w:r w:rsidR="00B46860">
        <w:rPr>
          <w:rFonts w:ascii="Times New Roman" w:eastAsia="Times New Roman" w:hAnsi="Times New Roman" w:cs="Times New Roman"/>
          <w:sz w:val="24"/>
          <w:szCs w:val="24"/>
          <w:lang w:val="en-GB" w:eastAsia="en-GB"/>
        </w:rPr>
        <w:t>(39, 40)</w:t>
      </w:r>
      <w:r w:rsidRPr="000343DB">
        <w:rPr>
          <w:rFonts w:ascii="Times New Roman" w:eastAsia="Times New Roman" w:hAnsi="Times New Roman" w:cs="Times New Roman"/>
          <w:sz w:val="24"/>
          <w:szCs w:val="24"/>
          <w:lang w:val="en-GB" w:eastAsia="en-GB"/>
        </w:rPr>
        <w:t xml:space="preserve">. Investments in health information systems, community-based prevention, and capacity building for chronic disease care are warranted to reduce preventable morbidity and mortality </w:t>
      </w:r>
      <w:r w:rsidR="00F51F34">
        <w:rPr>
          <w:rFonts w:ascii="Times New Roman" w:eastAsia="Times New Roman" w:hAnsi="Times New Roman" w:cs="Times New Roman"/>
          <w:sz w:val="24"/>
          <w:szCs w:val="24"/>
          <w:lang w:val="en-GB" w:eastAsia="en-GB"/>
        </w:rPr>
        <w:t>(4, 41)</w:t>
      </w:r>
      <w:r w:rsidRPr="000343DB">
        <w:rPr>
          <w:rFonts w:ascii="Times New Roman" w:eastAsia="Times New Roman" w:hAnsi="Times New Roman" w:cs="Times New Roman"/>
          <w:sz w:val="24"/>
          <w:szCs w:val="24"/>
          <w:lang w:val="en-GB" w:eastAsia="en-GB"/>
        </w:rPr>
        <w:t xml:space="preserve">. Moreover, addressing gender and urban-rural disparities in access and outcomes should be a priority for policymakers and hospital administrators </w:t>
      </w:r>
      <w:r w:rsidR="00F51F34">
        <w:rPr>
          <w:rFonts w:ascii="Times New Roman" w:eastAsia="Times New Roman" w:hAnsi="Times New Roman" w:cs="Times New Roman"/>
          <w:sz w:val="24"/>
          <w:szCs w:val="24"/>
          <w:lang w:val="en-GB" w:eastAsia="en-GB"/>
        </w:rPr>
        <w:t>(42)</w:t>
      </w:r>
      <w:r w:rsidRPr="000343DB">
        <w:rPr>
          <w:rFonts w:ascii="Times New Roman" w:eastAsia="Times New Roman" w:hAnsi="Times New Roman" w:cs="Times New Roman"/>
          <w:sz w:val="24"/>
          <w:szCs w:val="24"/>
          <w:lang w:val="en-GB" w:eastAsia="en-GB"/>
        </w:rPr>
        <w:t xml:space="preserve">. Continued surveillance and </w:t>
      </w:r>
      <w:r w:rsidR="000D7CFC" w:rsidRPr="000343DB">
        <w:rPr>
          <w:rFonts w:ascii="Times New Roman" w:eastAsia="Times New Roman" w:hAnsi="Times New Roman" w:cs="Times New Roman"/>
          <w:sz w:val="24"/>
          <w:szCs w:val="24"/>
          <w:lang w:val="en-GB" w:eastAsia="en-GB"/>
        </w:rPr>
        <w:t>multicentre</w:t>
      </w:r>
      <w:r w:rsidRPr="000343DB">
        <w:rPr>
          <w:rFonts w:ascii="Times New Roman" w:eastAsia="Times New Roman" w:hAnsi="Times New Roman" w:cs="Times New Roman"/>
          <w:sz w:val="24"/>
          <w:szCs w:val="24"/>
          <w:lang w:val="en-GB" w:eastAsia="en-GB"/>
        </w:rPr>
        <w:t xml:space="preserve"> research are needed to monitor trends and inform evidence-based interventions in Ethiopian hospitals </w:t>
      </w:r>
      <w:r w:rsidR="00F51F34">
        <w:rPr>
          <w:rFonts w:ascii="Times New Roman" w:eastAsia="Times New Roman" w:hAnsi="Times New Roman" w:cs="Times New Roman"/>
          <w:sz w:val="24"/>
          <w:szCs w:val="24"/>
          <w:lang w:val="en-GB" w:eastAsia="en-GB"/>
        </w:rPr>
        <w:t>(43)</w:t>
      </w:r>
      <w:r w:rsidRPr="000343DB">
        <w:rPr>
          <w:rFonts w:ascii="Times New Roman" w:eastAsia="Times New Roman" w:hAnsi="Times New Roman" w:cs="Times New Roman"/>
          <w:sz w:val="24"/>
          <w:szCs w:val="24"/>
          <w:lang w:val="en-GB" w:eastAsia="en-GB"/>
        </w:rPr>
        <w:t xml:space="preserve">. As sub-Saharan Africa undergoes a double burden of diseases, a multidisciplinary, multi-sectoral approach is crucial to address the evolving disease burden and improve overall health outcomes </w:t>
      </w:r>
      <w:r w:rsidR="00F51F34">
        <w:rPr>
          <w:rFonts w:ascii="Times New Roman" w:eastAsia="Times New Roman" w:hAnsi="Times New Roman" w:cs="Times New Roman"/>
          <w:sz w:val="24"/>
          <w:szCs w:val="24"/>
          <w:lang w:val="en-GB" w:eastAsia="en-GB"/>
        </w:rPr>
        <w:t>(4)</w:t>
      </w:r>
      <w:r w:rsidR="0059020B" w:rsidRPr="0059020B">
        <w:rPr>
          <w:rFonts w:ascii="Times New Roman" w:eastAsia="Times New Roman" w:hAnsi="Times New Roman" w:cs="Times New Roman"/>
          <w:sz w:val="24"/>
          <w:szCs w:val="24"/>
          <w:lang w:val="en-GB" w:eastAsia="en-GB"/>
        </w:rPr>
        <w:t>.</w:t>
      </w:r>
      <w:r w:rsidR="0059020B" w:rsidRPr="0059020B">
        <w:t xml:space="preserve"> </w:t>
      </w:r>
      <w:r w:rsidR="0059020B" w:rsidRPr="0059020B">
        <w:rPr>
          <w:rFonts w:ascii="Times New Roman" w:eastAsia="Times New Roman" w:hAnsi="Times New Roman" w:cs="Times New Roman"/>
          <w:sz w:val="24"/>
          <w:szCs w:val="24"/>
          <w:lang w:val="en-GB" w:eastAsia="en-GB"/>
        </w:rPr>
        <w:t>The limitation of this study is a retrospective cross-sectional design that is based on the quality and information completeness of the current medical records, admissions log books, and HMIS databases. There were possibilities of errors in classification and missing data that could have happened, and this would have influenced the accuracy of the diagnosis and results. Moreover, being a kind of single-centre study, the results cannot be applied to other facilities or areas. There is also no follow-up data that would make an evaluation of the long-term patient outcomes possible.</w:t>
      </w:r>
    </w:p>
    <w:p w14:paraId="073B1E2C" w14:textId="77777777" w:rsidR="0059020B" w:rsidRDefault="003A1226" w:rsidP="0059020B">
      <w:pPr>
        <w:spacing w:before="100" w:beforeAutospacing="1" w:after="100" w:afterAutospacing="1" w:line="240" w:lineRule="auto"/>
        <w:jc w:val="left"/>
        <w:rPr>
          <w:rFonts w:ascii="Times New Roman" w:hAnsi="Times New Roman" w:cs="Times New Roman"/>
          <w:color w:val="000000" w:themeColor="text1"/>
          <w:sz w:val="24"/>
          <w:szCs w:val="24"/>
        </w:rPr>
      </w:pPr>
      <w:r w:rsidRPr="00965698">
        <w:rPr>
          <w:rFonts w:ascii="Segoe UI" w:hAnsi="Segoe UI" w:cs="Segoe UI"/>
          <w:b/>
          <w:color w:val="000099"/>
          <w:sz w:val="32"/>
          <w:szCs w:val="24"/>
        </w:rPr>
        <w:t xml:space="preserve">Conclusion </w:t>
      </w:r>
    </w:p>
    <w:p w14:paraId="040AD3DD" w14:textId="4FEE8006" w:rsidR="0059020B" w:rsidRPr="0059020B" w:rsidRDefault="0059020B" w:rsidP="0059020B">
      <w:pPr>
        <w:spacing w:before="100" w:beforeAutospacing="1" w:after="100" w:afterAutospacing="1" w:line="240" w:lineRule="auto"/>
        <w:rPr>
          <w:rFonts w:ascii="Times New Roman" w:hAnsi="Times New Roman" w:cs="Times New Roman"/>
          <w:sz w:val="24"/>
          <w:szCs w:val="24"/>
        </w:rPr>
      </w:pPr>
      <w:r w:rsidRPr="0059020B">
        <w:rPr>
          <w:rFonts w:ascii="Times New Roman" w:hAnsi="Times New Roman" w:cs="Times New Roman"/>
          <w:sz w:val="24"/>
          <w:szCs w:val="24"/>
        </w:rPr>
        <w:t xml:space="preserve">In conclusion, this study highlights the complex and evolving landscape of medical admissions and outcomes at Hawassa University Comprehensive Specialized Hospital, showing the co-existence, as well as interaction of CDs with NCDs that constitute the current shift in patterns of disease and causes of death in Ethiopia. Though infectious and parasitic diseases remain the number one cause of admissions, there is still a heavy and increasing burden of NCDs, especially those of the circulatory and genitourinary origins, as the epidemiological transition currently underway in Ethiopia. The outcomes of the study also disclose the extensive gender disparities in the disease patterns, especially in the cases of tuberculosis and chronic liver disease admissions, as demonstrated in the present analysis. </w:t>
      </w:r>
    </w:p>
    <w:p w14:paraId="2E6E8547" w14:textId="3CC5CEB3" w:rsidR="0059020B" w:rsidRPr="0059020B" w:rsidRDefault="0059020B" w:rsidP="0059020B">
      <w:pPr>
        <w:spacing w:before="100" w:beforeAutospacing="1" w:after="100" w:afterAutospacing="1" w:line="240" w:lineRule="auto"/>
        <w:rPr>
          <w:rFonts w:ascii="Times New Roman" w:hAnsi="Times New Roman" w:cs="Times New Roman"/>
          <w:sz w:val="24"/>
          <w:szCs w:val="24"/>
        </w:rPr>
      </w:pPr>
      <w:r w:rsidRPr="0059020B">
        <w:rPr>
          <w:rFonts w:ascii="Times New Roman" w:hAnsi="Times New Roman" w:cs="Times New Roman"/>
          <w:sz w:val="24"/>
          <w:szCs w:val="24"/>
        </w:rPr>
        <w:t xml:space="preserve">Although the discharge rate is favorable, the medical ward admission mortality rate is lower than in some other Ethiopian hospitals, and the dual burden of disease, with the associated challenges of high rates of discharges against medical advice or systemic resource shortage, illustrates an eminent issue that requires improvement in an integrated healthcare response. Improving the outcomes will require efforts to improve early detection and encourage chronic disease management, and address gender and geographic disparities. </w:t>
      </w:r>
    </w:p>
    <w:p w14:paraId="10D7CC6B" w14:textId="77777777" w:rsidR="0059020B" w:rsidRDefault="0059020B" w:rsidP="0059020B">
      <w:pPr>
        <w:spacing w:before="100" w:beforeAutospacing="1" w:after="100" w:afterAutospacing="1" w:line="240" w:lineRule="auto"/>
        <w:rPr>
          <w:rFonts w:ascii="Times New Roman" w:hAnsi="Times New Roman" w:cs="Times New Roman"/>
          <w:sz w:val="24"/>
          <w:szCs w:val="24"/>
        </w:rPr>
      </w:pPr>
      <w:r w:rsidRPr="0059020B">
        <w:rPr>
          <w:rFonts w:ascii="Times New Roman" w:hAnsi="Times New Roman" w:cs="Times New Roman"/>
          <w:sz w:val="24"/>
          <w:szCs w:val="24"/>
        </w:rPr>
        <w:t>Finally, there is a need to further invest in building health system capacity, research, and multi-sectoral approaches to be able to effectively respond to the evolving burden of illness and the resulting morbidity and mortality levels that are avoidable in Ethiopia and other contexts.</w:t>
      </w:r>
    </w:p>
    <w:p w14:paraId="2237B1CF" w14:textId="77777777" w:rsidR="00C03A45" w:rsidRPr="00965698" w:rsidRDefault="00282BCB" w:rsidP="003A1226">
      <w:pPr>
        <w:spacing w:before="120" w:after="120" w:line="240" w:lineRule="auto"/>
        <w:rPr>
          <w:rFonts w:ascii="Segoe UI" w:hAnsi="Segoe UI" w:cs="Segoe UI"/>
          <w:b/>
          <w:color w:val="000099"/>
          <w:sz w:val="32"/>
          <w:szCs w:val="24"/>
        </w:rPr>
      </w:pPr>
      <w:r w:rsidRPr="00965698">
        <w:rPr>
          <w:rFonts w:ascii="Segoe UI" w:hAnsi="Segoe UI" w:cs="Segoe UI"/>
          <w:b/>
          <w:color w:val="000099"/>
          <w:sz w:val="32"/>
          <w:szCs w:val="24"/>
        </w:rPr>
        <w:t>Acknowledgement</w:t>
      </w:r>
    </w:p>
    <w:p w14:paraId="7AD29112" w14:textId="5570A760" w:rsidR="002F7A0E" w:rsidRDefault="002F7A0E" w:rsidP="00940C75">
      <w:pPr>
        <w:spacing w:before="100" w:beforeAutospacing="1" w:after="100" w:afterAutospacing="1" w:line="240" w:lineRule="auto"/>
        <w:rPr>
          <w:rFonts w:ascii="Times New Roman" w:eastAsia="Calibri" w:hAnsi="Times New Roman" w:cs="Times New Roman"/>
          <w:sz w:val="24"/>
          <w:szCs w:val="24"/>
        </w:rPr>
      </w:pPr>
      <w:r w:rsidRPr="002F7A0E">
        <w:rPr>
          <w:rFonts w:ascii="Times New Roman" w:eastAsia="Calibri" w:hAnsi="Times New Roman" w:cs="Times New Roman"/>
          <w:sz w:val="24"/>
          <w:szCs w:val="24"/>
        </w:rPr>
        <w:t>We would like to thank the management and the Medical Ward head of Hawassa University Comprehensive Specialized Hospital for their support and cooperation throughout the data collection process. Our appreciation also goes to the medical records and HMIS teams for providing access to patient charts, admissions log books, and databases essential for this retrospective cross-sectional study. Finally, we thank all individuals who contributed to the successful completion of this research.</w:t>
      </w:r>
    </w:p>
    <w:p w14:paraId="065CFA5F" w14:textId="1D8E6558" w:rsidR="00E05A57" w:rsidRPr="00965698" w:rsidRDefault="003235C5" w:rsidP="00940C75">
      <w:pPr>
        <w:spacing w:before="100" w:beforeAutospacing="1" w:after="100" w:afterAutospacing="1" w:line="240" w:lineRule="auto"/>
        <w:rPr>
          <w:rFonts w:ascii="Segoe UI" w:hAnsi="Segoe UI" w:cs="Segoe UI"/>
          <w:b/>
          <w:color w:val="000099"/>
          <w:sz w:val="32"/>
          <w:szCs w:val="24"/>
        </w:rPr>
      </w:pPr>
      <w:r w:rsidRPr="00965698">
        <w:rPr>
          <w:rFonts w:ascii="Segoe UI" w:hAnsi="Segoe UI" w:cs="Segoe UI"/>
          <w:b/>
          <w:color w:val="000099"/>
          <w:sz w:val="32"/>
          <w:szCs w:val="24"/>
        </w:rPr>
        <w:t>Ethical considerations</w:t>
      </w:r>
    </w:p>
    <w:p w14:paraId="1C194352" w14:textId="4AD2643A" w:rsidR="00306280" w:rsidRPr="00306280" w:rsidRDefault="002F7A0E" w:rsidP="00306280">
      <w:pPr>
        <w:spacing w:before="120" w:after="120" w:line="240" w:lineRule="auto"/>
        <w:contextualSpacing/>
        <w:rPr>
          <w:rFonts w:ascii="Times New Roman" w:eastAsia="Calibri" w:hAnsi="Times New Roman" w:cs="Times New Roman"/>
          <w:sz w:val="24"/>
          <w:szCs w:val="24"/>
        </w:rPr>
      </w:pPr>
      <w:r w:rsidRPr="002F7A0E">
        <w:rPr>
          <w:rFonts w:ascii="Times New Roman" w:eastAsia="Calibri" w:hAnsi="Times New Roman" w:cs="Times New Roman"/>
          <w:sz w:val="24"/>
          <w:szCs w:val="24"/>
        </w:rPr>
        <w:t>Ethical permission (Ref No. IRB/426/17) for this study was obtained from the Institutional Review Board (IRB) of the College of Medicine &amp; Health Sciences at Hawassa University. No patient consent was necessary as the records were reviewed. Permission was also taken from the Hawassa University Comprehensive Specialized Hospital management. All information obtained was kept confidential and was used only for this study.</w:t>
      </w:r>
    </w:p>
    <w:p w14:paraId="10385099" w14:textId="77777777" w:rsidR="00282BCB" w:rsidRDefault="00FF3294" w:rsidP="00940C75">
      <w:pPr>
        <w:spacing w:before="100" w:beforeAutospacing="1" w:after="100" w:afterAutospacing="1" w:line="240" w:lineRule="auto"/>
        <w:rPr>
          <w:rFonts w:ascii="Segoe UI" w:hAnsi="Segoe UI" w:cs="Segoe UI"/>
          <w:b/>
          <w:color w:val="000099"/>
          <w:sz w:val="32"/>
          <w:szCs w:val="24"/>
        </w:rPr>
      </w:pPr>
      <w:r>
        <w:rPr>
          <w:rFonts w:ascii="Segoe UI" w:hAnsi="Segoe UI" w:cs="Segoe UI"/>
          <w:b/>
          <w:color w:val="000099"/>
          <w:sz w:val="32"/>
          <w:szCs w:val="24"/>
        </w:rPr>
        <w:t>Data a</w:t>
      </w:r>
      <w:r w:rsidR="00282BCB" w:rsidRPr="00D82414">
        <w:rPr>
          <w:rFonts w:ascii="Segoe UI" w:hAnsi="Segoe UI" w:cs="Segoe UI"/>
          <w:b/>
          <w:color w:val="000099"/>
          <w:sz w:val="32"/>
          <w:szCs w:val="24"/>
        </w:rPr>
        <w:t>vailability statement</w:t>
      </w:r>
    </w:p>
    <w:p w14:paraId="49100270" w14:textId="77777777" w:rsidR="008E2316" w:rsidRDefault="008E2316" w:rsidP="00940C75">
      <w:pPr>
        <w:spacing w:before="100" w:beforeAutospacing="1" w:after="100" w:afterAutospacing="1" w:line="240" w:lineRule="auto"/>
        <w:rPr>
          <w:rFonts w:ascii="Times New Roman" w:eastAsia="Calibri" w:hAnsi="Times New Roman" w:cs="Times New Roman"/>
          <w:sz w:val="24"/>
          <w:szCs w:val="24"/>
        </w:rPr>
      </w:pPr>
      <w:r w:rsidRPr="008E2316">
        <w:rPr>
          <w:rFonts w:ascii="Times New Roman" w:eastAsia="Calibri" w:hAnsi="Times New Roman" w:cs="Times New Roman"/>
          <w:sz w:val="24"/>
          <w:szCs w:val="24"/>
        </w:rPr>
        <w:t>The data set is handled by the corresponding author and can be provided upon request.</w:t>
      </w:r>
    </w:p>
    <w:p w14:paraId="3F86A59F" w14:textId="109BEE42" w:rsidR="005B65F9" w:rsidRDefault="00FF3294" w:rsidP="00940C75">
      <w:pPr>
        <w:spacing w:before="100" w:beforeAutospacing="1" w:after="100" w:afterAutospacing="1" w:line="240" w:lineRule="auto"/>
        <w:rPr>
          <w:rFonts w:ascii="Segoe UI" w:hAnsi="Segoe UI" w:cs="Segoe UI"/>
          <w:b/>
          <w:color w:val="000099"/>
          <w:sz w:val="32"/>
          <w:szCs w:val="24"/>
        </w:rPr>
      </w:pPr>
      <w:r>
        <w:rPr>
          <w:rFonts w:ascii="Segoe UI" w:hAnsi="Segoe UI" w:cs="Segoe UI"/>
          <w:b/>
          <w:color w:val="000099"/>
          <w:sz w:val="32"/>
          <w:szCs w:val="24"/>
        </w:rPr>
        <w:t>Conflicts of i</w:t>
      </w:r>
      <w:r w:rsidR="005B65F9" w:rsidRPr="00D82414">
        <w:rPr>
          <w:rFonts w:ascii="Segoe UI" w:hAnsi="Segoe UI" w:cs="Segoe UI"/>
          <w:b/>
          <w:color w:val="000099"/>
          <w:sz w:val="32"/>
          <w:szCs w:val="24"/>
        </w:rPr>
        <w:t>nterest</w:t>
      </w:r>
    </w:p>
    <w:p w14:paraId="2B8CA6FF" w14:textId="7A1A82E6" w:rsidR="002A3180" w:rsidRPr="00306280" w:rsidRDefault="00306280" w:rsidP="002A3180">
      <w:pPr>
        <w:spacing w:line="240" w:lineRule="auto"/>
        <w:contextualSpacing/>
        <w:rPr>
          <w:rFonts w:ascii="Times New Roman" w:hAnsi="Times New Roman" w:cs="Times New Roman"/>
          <w:color w:val="000000" w:themeColor="text1"/>
          <w:sz w:val="24"/>
          <w:szCs w:val="24"/>
          <w:shd w:val="clear" w:color="auto" w:fill="FFFFFF"/>
          <w:lang w:val="en-GB" w:eastAsia="en-GB"/>
        </w:rPr>
      </w:pPr>
      <w:r w:rsidRPr="00306280">
        <w:rPr>
          <w:rFonts w:ascii="Times New Roman" w:eastAsia="Calibri" w:hAnsi="Times New Roman" w:cs="Times New Roman"/>
          <w:sz w:val="24"/>
          <w:szCs w:val="24"/>
        </w:rPr>
        <w:t xml:space="preserve">The authors declared </w:t>
      </w:r>
      <w:r w:rsidR="00E63842">
        <w:rPr>
          <w:rFonts w:ascii="Times New Roman" w:eastAsia="Calibri" w:hAnsi="Times New Roman" w:cs="Times New Roman"/>
          <w:sz w:val="24"/>
          <w:szCs w:val="24"/>
        </w:rPr>
        <w:t xml:space="preserve">that </w:t>
      </w:r>
      <w:r w:rsidRPr="00306280">
        <w:rPr>
          <w:rFonts w:ascii="Times New Roman" w:eastAsia="Calibri" w:hAnsi="Times New Roman" w:cs="Times New Roman"/>
          <w:sz w:val="24"/>
          <w:szCs w:val="24"/>
        </w:rPr>
        <w:t>no conflicts of interest exist.</w:t>
      </w:r>
    </w:p>
    <w:p w14:paraId="4DEF3D22" w14:textId="77777777" w:rsidR="00513977" w:rsidRPr="00204F31" w:rsidRDefault="00513977" w:rsidP="00513977">
      <w:pPr>
        <w:autoSpaceDE w:val="0"/>
        <w:autoSpaceDN w:val="0"/>
        <w:adjustRightInd w:val="0"/>
        <w:spacing w:line="240" w:lineRule="auto"/>
        <w:rPr>
          <w:rFonts w:ascii="Times New Roman" w:eastAsia="Times New Roman+FPEF" w:hAnsi="Times New Roman" w:cs="Times New Roman"/>
          <w:sz w:val="24"/>
          <w:szCs w:val="24"/>
        </w:rPr>
      </w:pPr>
      <w:r w:rsidRPr="00204F31">
        <w:rPr>
          <w:rFonts w:ascii="Times New Roman" w:eastAsia="Times New Roman+FPEF" w:hAnsi="Times New Roman" w:cs="Times New Roman"/>
          <w:sz w:val="24"/>
          <w:szCs w:val="24"/>
        </w:rPr>
        <w:t>.</w:t>
      </w:r>
    </w:p>
    <w:p w14:paraId="6E09198A" w14:textId="77777777" w:rsidR="005B65F9" w:rsidRDefault="005B65F9" w:rsidP="00513977">
      <w:pPr>
        <w:spacing w:after="120" w:line="240" w:lineRule="auto"/>
        <w:rPr>
          <w:rFonts w:ascii="Segoe UI" w:hAnsi="Segoe UI" w:cs="Segoe UI"/>
          <w:b/>
          <w:color w:val="000099"/>
          <w:sz w:val="32"/>
          <w:szCs w:val="24"/>
        </w:rPr>
      </w:pPr>
      <w:r w:rsidRPr="00D82414">
        <w:rPr>
          <w:rFonts w:ascii="Segoe UI" w:hAnsi="Segoe UI" w:cs="Segoe UI"/>
          <w:b/>
          <w:color w:val="000099"/>
          <w:sz w:val="32"/>
          <w:szCs w:val="24"/>
        </w:rPr>
        <w:t>Funding statement</w:t>
      </w:r>
    </w:p>
    <w:p w14:paraId="403BD651" w14:textId="77777777" w:rsidR="008E2316" w:rsidRDefault="008E2316" w:rsidP="00625009">
      <w:pPr>
        <w:pStyle w:val="ListParagraph"/>
        <w:spacing w:before="100" w:beforeAutospacing="1" w:after="100" w:afterAutospacing="1" w:line="240" w:lineRule="auto"/>
        <w:ind w:left="0"/>
        <w:rPr>
          <w:rFonts w:ascii="Times New Roman" w:eastAsia="Calibri" w:hAnsi="Times New Roman" w:cs="Times New Roman"/>
          <w:sz w:val="24"/>
          <w:szCs w:val="24"/>
        </w:rPr>
      </w:pPr>
      <w:r w:rsidRPr="008E2316">
        <w:rPr>
          <w:rFonts w:ascii="Times New Roman" w:eastAsia="Calibri" w:hAnsi="Times New Roman" w:cs="Times New Roman"/>
          <w:sz w:val="24"/>
          <w:szCs w:val="24"/>
        </w:rPr>
        <w:t>The authors received no financial support for the research, authorship, and/or publication of this article.</w:t>
      </w:r>
    </w:p>
    <w:p w14:paraId="6DA0DDA9" w14:textId="77777777" w:rsidR="008E2316" w:rsidRDefault="008E2316" w:rsidP="00625009">
      <w:pPr>
        <w:pStyle w:val="ListParagraph"/>
        <w:spacing w:before="100" w:beforeAutospacing="1" w:after="100" w:afterAutospacing="1" w:line="240" w:lineRule="auto"/>
        <w:ind w:left="0"/>
        <w:rPr>
          <w:rFonts w:ascii="Times New Roman" w:eastAsia="Calibri" w:hAnsi="Times New Roman" w:cs="Times New Roman"/>
          <w:sz w:val="24"/>
          <w:szCs w:val="24"/>
        </w:rPr>
      </w:pPr>
    </w:p>
    <w:p w14:paraId="388FF9C1" w14:textId="07721FD5" w:rsidR="00625009" w:rsidRDefault="00625009" w:rsidP="00EC4594">
      <w:pPr>
        <w:pStyle w:val="ListParagraph"/>
        <w:spacing w:before="100" w:beforeAutospacing="1" w:after="100" w:afterAutospacing="1"/>
        <w:ind w:left="0"/>
        <w:rPr>
          <w:rFonts w:ascii="Segoe UI" w:hAnsi="Segoe UI" w:cs="Segoe UI"/>
          <w:b/>
          <w:color w:val="000099"/>
          <w:sz w:val="32"/>
          <w:szCs w:val="24"/>
        </w:rPr>
      </w:pPr>
      <w:r w:rsidRPr="00625009">
        <w:rPr>
          <w:rFonts w:ascii="Segoe UI" w:hAnsi="Segoe UI" w:cs="Segoe UI"/>
          <w:b/>
          <w:color w:val="000099"/>
          <w:sz w:val="32"/>
          <w:szCs w:val="24"/>
        </w:rPr>
        <w:t>References</w:t>
      </w:r>
    </w:p>
    <w:p w14:paraId="47355ECE"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 xml:space="preserve">Yoon CW, Bushnell CD. Stroke in women: a review focused on epidemiology, risk factors, and outcomes. </w:t>
      </w:r>
      <w:r w:rsidRPr="000B2661">
        <w:rPr>
          <w:rFonts w:ascii="Times New Roman" w:eastAsiaTheme="minorEastAsia" w:hAnsi="Times New Roman" w:cs="Times New Roman"/>
          <w:noProof/>
          <w:sz w:val="24"/>
          <w:szCs w:val="24"/>
          <w:lang w:val="nl-NL" w:eastAsia="en-GB"/>
        </w:rPr>
        <w:t>J Stroke. 2023;25(1):2-15.</w:t>
      </w:r>
    </w:p>
    <w:p w14:paraId="5AE7B7F0"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594854">
        <w:rPr>
          <w:rFonts w:ascii="Times New Roman" w:eastAsiaTheme="minorEastAsia" w:hAnsi="Times New Roman" w:cs="Times New Roman"/>
          <w:noProof/>
          <w:sz w:val="24"/>
          <w:szCs w:val="24"/>
          <w:lang w:eastAsia="en-GB"/>
        </w:rPr>
        <w:t xml:space="preserve">Tesfay FH, Mengistu E, Negash K, et al. </w:t>
      </w:r>
      <w:r w:rsidRPr="000B2661">
        <w:rPr>
          <w:rFonts w:ascii="Times New Roman" w:eastAsiaTheme="minorEastAsia" w:hAnsi="Times New Roman" w:cs="Times New Roman"/>
          <w:noProof/>
          <w:sz w:val="24"/>
          <w:szCs w:val="24"/>
          <w:lang w:val="en-GB" w:eastAsia="en-GB"/>
        </w:rPr>
        <w:t>Prevalence of chronic non-communicable diseases in Ethiopia: a systematic review and meta-analysis of evidence. Front Public Health. 2022;10:936482.</w:t>
      </w:r>
    </w:p>
    <w:p w14:paraId="374D9DD3"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Mengistu MD, Benti H. Assessment of magnitude and spectrum of cardiovascular disease admissions and outcomes in Saint Paul Hospital Millennium Medical College, Addis Ababa: a retrospective study. PLoS One. 2022;17(12):e0267527.</w:t>
      </w:r>
    </w:p>
    <w:p w14:paraId="2514E058"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World Health Organization (WHO) Regional Office for Africa. Trends in communicable and noncommunicable disease burden and control in Africa. Brazzaville: WHO; 2023.</w:t>
      </w:r>
    </w:p>
    <w:p w14:paraId="31A380A6"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Coates MM, Fadelu T, Kaptoge S, et al. Burden of non-communicable diseases from infectious causes in 2017: a modelling study. Lancet Glob Health. 2020;8(12):e1489-e1498.</w:t>
      </w:r>
    </w:p>
    <w:p w14:paraId="07DADCE3"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Li Z, Deng Q, Li L, et al. Temporal trends in the burden of non-communicable diseases in countries with the highest malaria burden, 1990-2019: evaluating the double burden of non-communicable and communicable diseases in epidemiological transition. Glob Health. 2022;18(1):90.</w:t>
      </w:r>
    </w:p>
    <w:p w14:paraId="096ADFEF"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 xml:space="preserve">Gouda HN, Charlson F, Sorsdahl K, et al. Burden of non-communicable diseases in sub-Saharan Africa, 1990-2017: results from the Global Burden of Disease Study 2017. </w:t>
      </w:r>
      <w:r w:rsidRPr="000B2661">
        <w:rPr>
          <w:rFonts w:ascii="Times New Roman" w:eastAsiaTheme="minorEastAsia" w:hAnsi="Times New Roman" w:cs="Times New Roman"/>
          <w:noProof/>
          <w:sz w:val="24"/>
          <w:szCs w:val="24"/>
          <w:lang w:val="pt-PT" w:eastAsia="en-GB"/>
        </w:rPr>
        <w:t>Lancet Glob Health. 2019;7(10):e1375-e1387.</w:t>
      </w:r>
    </w:p>
    <w:p w14:paraId="087F770F" w14:textId="54AA0E7E"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pt-PT" w:eastAsia="en-GB"/>
        </w:rPr>
        <w:t xml:space="preserve">Alene KA, Tesema AG, Munshea A, et al. </w:t>
      </w:r>
      <w:r w:rsidRPr="000B2661">
        <w:rPr>
          <w:rFonts w:ascii="Times New Roman" w:eastAsiaTheme="minorEastAsia" w:hAnsi="Times New Roman" w:cs="Times New Roman"/>
          <w:noProof/>
          <w:sz w:val="24"/>
          <w:szCs w:val="24"/>
          <w:lang w:val="en-GB" w:eastAsia="en-GB"/>
        </w:rPr>
        <w:t>Spatial codistribution of HIV, tuberculosis</w:t>
      </w:r>
      <w:r w:rsidR="007100AA">
        <w:rPr>
          <w:rFonts w:ascii="Times New Roman" w:eastAsiaTheme="minorEastAsia" w:hAnsi="Times New Roman" w:cs="Times New Roman"/>
          <w:noProof/>
          <w:sz w:val="24"/>
          <w:szCs w:val="24"/>
          <w:lang w:val="en-GB" w:eastAsia="en-GB"/>
        </w:rPr>
        <w:t>,</w:t>
      </w:r>
      <w:r w:rsidRPr="000B2661">
        <w:rPr>
          <w:rFonts w:ascii="Times New Roman" w:eastAsiaTheme="minorEastAsia" w:hAnsi="Times New Roman" w:cs="Times New Roman"/>
          <w:noProof/>
          <w:sz w:val="24"/>
          <w:szCs w:val="24"/>
          <w:lang w:val="en-GB" w:eastAsia="en-GB"/>
        </w:rPr>
        <w:t xml:space="preserve"> and malaria in Ethiopia. BMJ Glob Health. 2022;7:e008074.</w:t>
      </w:r>
    </w:p>
    <w:p w14:paraId="73CB46F1" w14:textId="0290CFC5"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360" w:hanging="360"/>
        <w:rPr>
          <w:rFonts w:ascii="Times New Roman" w:eastAsiaTheme="minorEastAsia" w:hAnsi="Times New Roman" w:cs="Times New Roman"/>
          <w:noProof/>
          <w:sz w:val="24"/>
          <w:szCs w:val="24"/>
          <w:lang w:val="nl-NL" w:eastAsia="en-GB"/>
        </w:rPr>
      </w:pPr>
      <w:r w:rsidRPr="000B2661">
        <w:rPr>
          <w:rFonts w:ascii="Times New Roman" w:eastAsiaTheme="minorEastAsia" w:hAnsi="Times New Roman" w:cs="Times New Roman"/>
          <w:noProof/>
          <w:sz w:val="24"/>
          <w:szCs w:val="24"/>
          <w:lang w:val="en-GB" w:eastAsia="en-GB"/>
        </w:rPr>
        <w:t xml:space="preserve">Abebe D, Tegegne KT, Fenta A, et al. Patient satisfaction and associated factors in Addis Ababa's public referral hospitals: insights from 2023. </w:t>
      </w:r>
      <w:r w:rsidRPr="000B2661">
        <w:rPr>
          <w:rFonts w:ascii="Times New Roman" w:eastAsiaTheme="minorEastAsia" w:hAnsi="Times New Roman" w:cs="Times New Roman"/>
          <w:noProof/>
          <w:sz w:val="24"/>
          <w:szCs w:val="24"/>
          <w:lang w:val="sv-SE" w:eastAsia="en-GB"/>
        </w:rPr>
        <w:t>Front Med (Lausanne). 2024;11:1456566.</w:t>
      </w:r>
    </w:p>
    <w:p w14:paraId="2B6C9E80"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594854">
        <w:rPr>
          <w:rFonts w:ascii="Times New Roman" w:eastAsiaTheme="minorEastAsia" w:hAnsi="Times New Roman" w:cs="Times New Roman"/>
          <w:noProof/>
          <w:sz w:val="24"/>
          <w:szCs w:val="24"/>
          <w:lang w:val="nl-NL" w:eastAsia="en-GB"/>
        </w:rPr>
        <w:t xml:space="preserve">Nyaruaba R, Muga J, Phan NV, et al. </w:t>
      </w:r>
      <w:r w:rsidRPr="000B2661">
        <w:rPr>
          <w:rFonts w:ascii="Times New Roman" w:eastAsiaTheme="minorEastAsia" w:hAnsi="Times New Roman" w:cs="Times New Roman"/>
          <w:noProof/>
          <w:sz w:val="24"/>
          <w:szCs w:val="24"/>
          <w:lang w:val="en-GB" w:eastAsia="en-GB"/>
        </w:rPr>
        <w:t>Socio-economic impacts of emerging infectious diseases in Africa. Infect Dis (Lond). 2022;54(5):315-324.</w:t>
      </w:r>
    </w:p>
    <w:p w14:paraId="644B3842" w14:textId="1AFAE5B2"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World</w:t>
      </w:r>
      <w:r w:rsidR="007100AA">
        <w:rPr>
          <w:rFonts w:ascii="Times New Roman" w:eastAsiaTheme="minorEastAsia" w:hAnsi="Times New Roman" w:cs="Times New Roman"/>
          <w:noProof/>
          <w:sz w:val="24"/>
          <w:szCs w:val="24"/>
          <w:lang w:val="en-GB" w:eastAsia="en-GB"/>
        </w:rPr>
        <w:t xml:space="preserve"> </w:t>
      </w:r>
      <w:r w:rsidRPr="000B2661">
        <w:rPr>
          <w:rFonts w:ascii="Times New Roman" w:eastAsiaTheme="minorEastAsia" w:hAnsi="Times New Roman" w:cs="Times New Roman"/>
          <w:noProof/>
          <w:sz w:val="24"/>
          <w:szCs w:val="24"/>
          <w:lang w:val="en-GB" w:eastAsia="en-GB"/>
        </w:rPr>
        <w:t>Health Organization. Global tuberculosis report. Geneva: WHO; 2024.</w:t>
      </w:r>
    </w:p>
    <w:p w14:paraId="0CF23C09"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Misganaw A, Hailemariam D, Araya T, Lefevre P. Epidemiology of major non-communicable diseases in Ethiopia: a systematic review. J Health Popul Nutr. 2014;32(1):1.</w:t>
      </w:r>
    </w:p>
    <w:p w14:paraId="780F56BC"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Addo J, Agongo G, Bahendeka SK, et al. The Africa non-communicable diseases (NCD) Open Lab: Impact of a portfolio of clinical studies to deepen the understanding of NCDs in sub-Saharan Africa. J Glob Health. 2024;14:04065.</w:t>
      </w:r>
    </w:p>
    <w:p w14:paraId="795474F4"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sv-SE" w:eastAsia="en-GB"/>
        </w:rPr>
        <w:t xml:space="preserve">Tolossa T, Alemu A, Menna T, et al. </w:t>
      </w:r>
      <w:r w:rsidRPr="000B2661">
        <w:rPr>
          <w:rFonts w:ascii="Times New Roman" w:eastAsiaTheme="minorEastAsia" w:hAnsi="Times New Roman" w:cs="Times New Roman"/>
          <w:noProof/>
          <w:sz w:val="24"/>
          <w:szCs w:val="24"/>
          <w:lang w:val="en-GB" w:eastAsia="en-GB"/>
        </w:rPr>
        <w:t>Burden and determinants of chronic kidney disease among diabetic patients in Ethiopia: a systematic review and meta-analysis. Public Health Rev. 2021;42:1603969.</w:t>
      </w:r>
    </w:p>
    <w:p w14:paraId="0B27370C"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Kamanzi Ntakirutimana G. Prevalence and epidemiology of diabetes in West Africa: trends and challenges. Res Invention J Biol Appl Sci. 2024;4(3):23-27.</w:t>
      </w:r>
    </w:p>
    <w:p w14:paraId="1186714D"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Bickler SW, Morris M, Mwanga-Amumpaire J, et al. Urbanization in sub-Saharan Africa: declining rates of chronic and recurrent infection and their possible role in the origins of non-communicable diseases. World J Surg. 2018;42(6):1617-1628.</w:t>
      </w:r>
    </w:p>
    <w:p w14:paraId="793CDB5C"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sv-SE" w:eastAsia="en-GB"/>
        </w:rPr>
        <w:t xml:space="preserve">Müller SA, Elimian K, Rafamatanantsoa JF, et al. </w:t>
      </w:r>
      <w:r w:rsidRPr="000B2661">
        <w:rPr>
          <w:rFonts w:ascii="Times New Roman" w:eastAsiaTheme="minorEastAsia" w:hAnsi="Times New Roman" w:cs="Times New Roman"/>
          <w:noProof/>
          <w:sz w:val="24"/>
          <w:szCs w:val="24"/>
          <w:lang w:val="en-GB" w:eastAsia="en-GB"/>
        </w:rPr>
        <w:t>The burden and treatment of non-communicable diseases among healthcare workers in sub-Saharan Africa: a multi-country cross-sectional study. Front Public Health. 2024;12:1375221.</w:t>
      </w:r>
    </w:p>
    <w:p w14:paraId="65AC4427"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Bigna JJ, Noubiap JJ. The rising burden of non-communicable diseases in sub-Saharan Africa. Lancet Glob Health. 2019;7(10):e1295-e1296.</w:t>
      </w:r>
    </w:p>
    <w:p w14:paraId="268D0AAB"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 xml:space="preserve">Hailu A, Gebremariam T, Gelaw YM, et al. Patterns of medical admissions and predictors of mortality in Ayder Comprehensive Specialized Hospital, Northern Ethiopia: a prospective observational study. </w:t>
      </w:r>
      <w:r w:rsidRPr="000B2661">
        <w:rPr>
          <w:rFonts w:ascii="Times New Roman" w:eastAsiaTheme="minorEastAsia" w:hAnsi="Times New Roman" w:cs="Times New Roman"/>
          <w:noProof/>
          <w:sz w:val="24"/>
          <w:szCs w:val="24"/>
          <w:lang w:val="nl-NL" w:eastAsia="en-GB"/>
        </w:rPr>
        <w:t>Int J Gen Med. 2023;16:243-257.</w:t>
      </w:r>
    </w:p>
    <w:p w14:paraId="07331FCB"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Ahmed A, Fentie M, Weldegebreal F, et al. </w:t>
      </w:r>
      <w:r w:rsidRPr="000B2661">
        <w:rPr>
          <w:rFonts w:ascii="Times New Roman" w:eastAsiaTheme="minorEastAsia" w:hAnsi="Times New Roman" w:cs="Times New Roman"/>
          <w:noProof/>
          <w:sz w:val="24"/>
          <w:szCs w:val="24"/>
          <w:lang w:val="en-GB" w:eastAsia="en-GB"/>
        </w:rPr>
        <w:t xml:space="preserve">Incidence and determinants of tuberculosis infection among adult patients with HIV attending HIV care in north-east Ethiopia: a retrospective cohort study. </w:t>
      </w:r>
      <w:r w:rsidRPr="000B2661">
        <w:rPr>
          <w:rFonts w:ascii="Times New Roman" w:eastAsiaTheme="minorEastAsia" w:hAnsi="Times New Roman" w:cs="Times New Roman"/>
          <w:noProof/>
          <w:sz w:val="24"/>
          <w:szCs w:val="24"/>
          <w:lang w:val="pt-PT" w:eastAsia="en-GB"/>
        </w:rPr>
        <w:t>BMJ Open. 2018;8(2):e016961.</w:t>
      </w:r>
    </w:p>
    <w:p w14:paraId="65B34350"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pt-PT" w:eastAsia="en-GB"/>
        </w:rPr>
        <w:t xml:space="preserve">Naveed H, Munshi I, Zafar S, et al. </w:t>
      </w:r>
      <w:r w:rsidRPr="000B2661">
        <w:rPr>
          <w:rFonts w:ascii="Times New Roman" w:eastAsiaTheme="minorEastAsia" w:hAnsi="Times New Roman" w:cs="Times New Roman"/>
          <w:noProof/>
          <w:sz w:val="24"/>
          <w:szCs w:val="24"/>
          <w:lang w:val="en-GB" w:eastAsia="en-GB"/>
        </w:rPr>
        <w:t>Women and stroke: disparities in clinical presentation, severity, and short- and long-term outcomes. Front Neurol. 2023;14:1147858.</w:t>
      </w:r>
    </w:p>
    <w:p w14:paraId="67FD85A9"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Humayun M, Chirenda J, Ye W, et al. </w:t>
      </w:r>
      <w:r w:rsidRPr="000B2661">
        <w:rPr>
          <w:rFonts w:ascii="Times New Roman" w:eastAsiaTheme="minorEastAsia" w:hAnsi="Times New Roman" w:cs="Times New Roman"/>
          <w:noProof/>
          <w:sz w:val="24"/>
          <w:szCs w:val="24"/>
          <w:lang w:val="en-GB" w:eastAsia="en-GB"/>
        </w:rPr>
        <w:t>Effect of gender on clinical presentation of tuberculosis (TB) and age-specific risk of TB, and TB-human immunodeficiency virus coinfection. Open Forum Infect Dis. 2022;9(10):ofac512.</w:t>
      </w:r>
    </w:p>
    <w:p w14:paraId="1D8303D2"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Mokhtarpour K, Kazeminasab S, Khamseh ME, et al. </w:t>
      </w:r>
      <w:r w:rsidRPr="000B2661">
        <w:rPr>
          <w:rFonts w:ascii="Times New Roman" w:eastAsiaTheme="minorEastAsia" w:hAnsi="Times New Roman" w:cs="Times New Roman"/>
          <w:noProof/>
          <w:sz w:val="24"/>
          <w:szCs w:val="24"/>
          <w:lang w:val="en-GB" w:eastAsia="en-GB"/>
        </w:rPr>
        <w:t>Impact of gender on chronic complications in participants with type 2 diabetes: evidence from a cross-sectional study. Endocrinol Diabetes Metab. 2024;7(3):e488.</w:t>
      </w:r>
    </w:p>
    <w:p w14:paraId="2B9ABB3E"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Min J, Park JS, Kim HW, et al. </w:t>
      </w:r>
      <w:r w:rsidRPr="000B2661">
        <w:rPr>
          <w:rFonts w:ascii="Times New Roman" w:eastAsiaTheme="minorEastAsia" w:hAnsi="Times New Roman" w:cs="Times New Roman"/>
          <w:noProof/>
          <w:sz w:val="24"/>
          <w:szCs w:val="24"/>
          <w:lang w:val="en-GB" w:eastAsia="en-GB"/>
        </w:rPr>
        <w:t>Differential effects of sex on tuberculosis location and severity across the lifespan. Sci Rep. 2023;13(1):6023.</w:t>
      </w:r>
    </w:p>
    <w:p w14:paraId="44309112"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Ezeamii VC, Arinzechi CI, Oghotuoma OO, et al. Temporal trends and disparities in chronic liver disease mortality: an analysis using National Center for Health Statistics (NCHS) data ranging from 1999 to 2023. Cureus. 2025;17(5):e000000.</w:t>
      </w:r>
    </w:p>
    <w:p w14:paraId="24ECA70D" w14:textId="6520F202"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 xml:space="preserve">Agazhe M, Tufa TB, Ayele Y, et al. Incidence and pattern of stroke among patients admitted to </w:t>
      </w:r>
      <w:r w:rsidR="007100AA">
        <w:rPr>
          <w:rFonts w:ascii="Times New Roman" w:eastAsiaTheme="minorEastAsia" w:hAnsi="Times New Roman" w:cs="Times New Roman"/>
          <w:noProof/>
          <w:sz w:val="24"/>
          <w:szCs w:val="24"/>
          <w:lang w:val="en-GB" w:eastAsia="en-GB"/>
        </w:rPr>
        <w:t xml:space="preserve">the </w:t>
      </w:r>
      <w:r w:rsidRPr="000B2661">
        <w:rPr>
          <w:rFonts w:ascii="Times New Roman" w:eastAsiaTheme="minorEastAsia" w:hAnsi="Times New Roman" w:cs="Times New Roman"/>
          <w:noProof/>
          <w:sz w:val="24"/>
          <w:szCs w:val="24"/>
          <w:lang w:val="en-GB" w:eastAsia="en-GB"/>
        </w:rPr>
        <w:t>medical ward at Yirgalem General Hospital, Sidama Regional State, Southern</w:t>
      </w:r>
      <w:r w:rsidR="007100AA">
        <w:rPr>
          <w:rFonts w:ascii="Times New Roman" w:eastAsiaTheme="minorEastAsia" w:hAnsi="Times New Roman" w:cs="Times New Roman"/>
          <w:noProof/>
          <w:sz w:val="24"/>
          <w:szCs w:val="24"/>
          <w:lang w:val="en-GB" w:eastAsia="en-GB"/>
        </w:rPr>
        <w:t xml:space="preserve"> </w:t>
      </w:r>
      <w:r w:rsidRPr="000B2661">
        <w:rPr>
          <w:rFonts w:ascii="Times New Roman" w:eastAsiaTheme="minorEastAsia" w:hAnsi="Times New Roman" w:cs="Times New Roman"/>
          <w:noProof/>
          <w:sz w:val="24"/>
          <w:szCs w:val="24"/>
          <w:lang w:val="en-GB" w:eastAsia="en-GB"/>
        </w:rPr>
        <w:t>Ethiopia. SAGE Open Med. 2021;9:20503121211001154.</w:t>
      </w:r>
    </w:p>
    <w:p w14:paraId="6671F532"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Zhao J, Zhang T, Wan H, Yu Y, Wen J, Wang X. Sex-related differences in spontaneous intracerebral hemorrhage outcomes: a prognostic study based on 111,112 medical records. Front Neurol. 2022;957132.</w:t>
      </w:r>
    </w:p>
    <w:p w14:paraId="53C4B3D1"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Dodd PJ, Osman M, Cresswell FV, et al. The global burden of tuberculous meningitis in adults: a modelling study. PLOS Glob Public Health. 2021;1:e0000069.</w:t>
      </w:r>
    </w:p>
    <w:p w14:paraId="3FEFF852"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pt-PT" w:eastAsia="en-GB"/>
        </w:rPr>
        <w:t xml:space="preserve">Deriba C, Teshome D, Jemal N, et al. </w:t>
      </w:r>
      <w:r w:rsidRPr="000B2661">
        <w:rPr>
          <w:rFonts w:ascii="Times New Roman" w:eastAsiaTheme="minorEastAsia" w:hAnsi="Times New Roman" w:cs="Times New Roman"/>
          <w:noProof/>
          <w:sz w:val="24"/>
          <w:szCs w:val="24"/>
          <w:lang w:val="en-GB" w:eastAsia="en-GB"/>
        </w:rPr>
        <w:t>In-hospital mortality and associated factors among adult patients with acute heart failure in a tertiary hospital, Harar, Eastern Ethiopia: a cross-sectional study. Interv Cardiol. 2024;16(5):915-923.</w:t>
      </w:r>
    </w:p>
    <w:p w14:paraId="43957AC3"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Merzah M. Trends in incidence, prevalence, and mortality of non-communicable diseases in Iraq (2003-2021). BMC Public Health. 2025;25(1):374.</w:t>
      </w:r>
    </w:p>
    <w:p w14:paraId="038FB522"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pt-PT" w:eastAsia="en-GB"/>
        </w:rPr>
        <w:t xml:space="preserve">Doh D, Dahwa R, Renzaho AMN. </w:t>
      </w:r>
      <w:r w:rsidRPr="000B2661">
        <w:rPr>
          <w:rFonts w:ascii="Times New Roman" w:eastAsiaTheme="minorEastAsia" w:hAnsi="Times New Roman" w:cs="Times New Roman"/>
          <w:noProof/>
          <w:sz w:val="24"/>
          <w:szCs w:val="24"/>
          <w:lang w:val="en-GB" w:eastAsia="en-GB"/>
        </w:rPr>
        <w:t>A scoping review of non-communicable diseases among the workforce as a threat to global peace and security in low- and middle-income countries. Int J Environ Res Public Health. 2024;21(9):e000000.</w:t>
      </w:r>
    </w:p>
    <w:p w14:paraId="1E544BB6"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sv-SE" w:eastAsia="en-GB"/>
        </w:rPr>
        <w:t xml:space="preserve">Edessa D, Sisay M, Asefa F, et al. </w:t>
      </w:r>
      <w:r w:rsidRPr="000B2661">
        <w:rPr>
          <w:rFonts w:ascii="Times New Roman" w:eastAsiaTheme="minorEastAsia" w:hAnsi="Times New Roman" w:cs="Times New Roman"/>
          <w:noProof/>
          <w:sz w:val="24"/>
          <w:szCs w:val="24"/>
          <w:lang w:val="en-GB" w:eastAsia="en-GB"/>
        </w:rPr>
        <w:t>Incidence and predictors of mortality among persons receiving second-line tuberculosis treatment in sub-Saharan Africa: a meta-analysis of 43 cohort studies. PLoS One. 2021;16(12):e0261149.</w:t>
      </w:r>
    </w:p>
    <w:p w14:paraId="40E73C7B"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 xml:space="preserve">Borchers A, Pieler T. Programming pluripotent precursor cells derived from Xenopus embryos to generate specific tissues and organs. </w:t>
      </w:r>
      <w:r w:rsidRPr="000B2661">
        <w:rPr>
          <w:rFonts w:ascii="Times New Roman" w:eastAsiaTheme="minorEastAsia" w:hAnsi="Times New Roman" w:cs="Times New Roman"/>
          <w:noProof/>
          <w:sz w:val="24"/>
          <w:szCs w:val="24"/>
          <w:lang w:val="pt-PT" w:eastAsia="en-GB"/>
        </w:rPr>
        <w:t>Genes (Basel). 2010;1(3):413-26.</w:t>
      </w:r>
    </w:p>
    <w:p w14:paraId="0478A2C4"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pt-PT" w:eastAsia="en-GB"/>
        </w:rPr>
        <w:t xml:space="preserve">Alhajeri SS, Alabdulaziz N, Alharthi SS, et al. </w:t>
      </w:r>
      <w:r w:rsidRPr="000B2661">
        <w:rPr>
          <w:rFonts w:ascii="Times New Roman" w:eastAsiaTheme="minorEastAsia" w:hAnsi="Times New Roman" w:cs="Times New Roman"/>
          <w:noProof/>
          <w:sz w:val="24"/>
          <w:szCs w:val="24"/>
          <w:lang w:val="en-GB" w:eastAsia="en-GB"/>
        </w:rPr>
        <w:t>Leaving against medical advice: current problems and plausible solutions. Cureus. 2024;16(7):e64230.</w:t>
      </w:r>
    </w:p>
    <w:p w14:paraId="789DB458"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Godswill D, Akintoye O, Adomako D. Assessment of the governance and leadership structures of the healthcare system in Ghana and its implications for the implementation of networks of practice: the case of a newly created region. Int J Res Innov Soc Sci. 2024;8(11):2532-2555.</w:t>
      </w:r>
    </w:p>
    <w:p w14:paraId="5899A451"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Ali E, Woldie M. Reasons and outcomes of admissions to the medical wards of Jimma University Specialized Hospital, Southwest Ethiopia. Ethiop J Health Sci. 2010;20(2):119-125.</w:t>
      </w:r>
    </w:p>
    <w:p w14:paraId="74D6909D"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sv-SE" w:eastAsia="en-GB"/>
        </w:rPr>
        <w:t xml:space="preserve">Muller SA, Elimian K, Rafamatanantsoa JF, et al. </w:t>
      </w:r>
      <w:r w:rsidRPr="000B2661">
        <w:rPr>
          <w:rFonts w:ascii="Times New Roman" w:eastAsiaTheme="minorEastAsia" w:hAnsi="Times New Roman" w:cs="Times New Roman"/>
          <w:noProof/>
          <w:sz w:val="24"/>
          <w:szCs w:val="24"/>
          <w:lang w:val="en-GB" w:eastAsia="en-GB"/>
        </w:rPr>
        <w:t>The burden and treatment of non-communicable diseases among healthcare workers in sub-Saharan Africa: a multi-country cross-sectional study. Front Public Health. 2024;12:1375221.</w:t>
      </w:r>
    </w:p>
    <w:p w14:paraId="4A51271B"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 xml:space="preserve">Kaluvu L, Alene KA, Birhan TY, et al. Multimorbidity of communicable and non-communicable diseases in low- and middle-income countries: a systematic review. </w:t>
      </w:r>
      <w:r w:rsidRPr="000B2661">
        <w:rPr>
          <w:rFonts w:ascii="Times New Roman" w:eastAsiaTheme="minorEastAsia" w:hAnsi="Times New Roman" w:cs="Times New Roman"/>
          <w:noProof/>
          <w:sz w:val="24"/>
          <w:szCs w:val="24"/>
          <w:lang w:val="nl-NL" w:eastAsia="en-GB"/>
        </w:rPr>
        <w:t>J Multimorb Comorb. 2022;12:26335565221112593.</w:t>
      </w:r>
    </w:p>
    <w:p w14:paraId="0DF8930A"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Richter P, Wisniewski H, Mweemba O, et al. </w:t>
      </w:r>
      <w:r w:rsidRPr="000B2661">
        <w:rPr>
          <w:rFonts w:ascii="Times New Roman" w:eastAsiaTheme="minorEastAsia" w:hAnsi="Times New Roman" w:cs="Times New Roman"/>
          <w:noProof/>
          <w:sz w:val="24"/>
          <w:szCs w:val="24"/>
          <w:lang w:val="en-GB" w:eastAsia="en-GB"/>
        </w:rPr>
        <w:t>The case for integrating health systems to manage noncommunicable and infectious diseases in low- and middle-income countries: lessons learned from Zambia. Health Secur. 2022;20(4):286-297.</w:t>
      </w:r>
    </w:p>
    <w:p w14:paraId="5270601C" w14:textId="7777777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 xml:space="preserve">Modjadji P. Communicable and non-communicable diseases coexisting in South Africa. </w:t>
      </w:r>
      <w:r w:rsidRPr="000B2661">
        <w:rPr>
          <w:rFonts w:ascii="Times New Roman" w:eastAsiaTheme="minorEastAsia" w:hAnsi="Times New Roman" w:cs="Times New Roman"/>
          <w:noProof/>
          <w:sz w:val="24"/>
          <w:szCs w:val="24"/>
          <w:lang w:val="pt-PT" w:eastAsia="en-GB"/>
        </w:rPr>
        <w:t>Lancet Glob Health. 2021;9(7):e889-e890.</w:t>
      </w:r>
    </w:p>
    <w:p w14:paraId="255A9FE5"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nl-NL" w:eastAsia="en-GB"/>
        </w:rPr>
        <w:t xml:space="preserve">Amu H, Laar A, Agbozo F, et al. </w:t>
      </w:r>
      <w:r w:rsidRPr="000B2661">
        <w:rPr>
          <w:rFonts w:ascii="Times New Roman" w:eastAsiaTheme="minorEastAsia" w:hAnsi="Times New Roman" w:cs="Times New Roman"/>
          <w:noProof/>
          <w:sz w:val="24"/>
          <w:szCs w:val="24"/>
          <w:lang w:val="en-GB" w:eastAsia="en-GB"/>
        </w:rPr>
        <w:t>Improving investment in chronic disease care in sub-Saharan Africa is crucial for the achievement of SDG 3.4: application of the chronic care model. Arch Public Health. 2023;81(1):169.</w:t>
      </w:r>
    </w:p>
    <w:p w14:paraId="50BE6111" w14:textId="77777777" w:rsid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en-GB" w:eastAsia="en-GB"/>
        </w:rPr>
        <w:t>Oke GI, Sibomana O. Understanding health inequality, disparity and inequity in Africa: a rapid review of concepts, root causes, and strategic solutions. Public Health Chall. 2025;4(1):e70040.</w:t>
      </w:r>
    </w:p>
    <w:p w14:paraId="7703FDBA" w14:textId="0775E427" w:rsidR="000B2661" w:rsidRPr="000B2661" w:rsidRDefault="000B2661" w:rsidP="00EC4594">
      <w:pPr>
        <w:pStyle w:val="ListParagraph"/>
        <w:widowControl w:val="0"/>
        <w:numPr>
          <w:ilvl w:val="0"/>
          <w:numId w:val="19"/>
        </w:numPr>
        <w:autoSpaceDE w:val="0"/>
        <w:autoSpaceDN w:val="0"/>
        <w:adjustRightInd w:val="0"/>
        <w:spacing w:before="120" w:after="120" w:line="240" w:lineRule="auto"/>
        <w:ind w:left="450" w:hanging="450"/>
        <w:rPr>
          <w:rFonts w:ascii="Times New Roman" w:eastAsiaTheme="minorEastAsia" w:hAnsi="Times New Roman" w:cs="Times New Roman"/>
          <w:noProof/>
          <w:sz w:val="24"/>
          <w:szCs w:val="24"/>
          <w:lang w:val="en-GB" w:eastAsia="en-GB"/>
        </w:rPr>
      </w:pPr>
      <w:r w:rsidRPr="000B2661">
        <w:rPr>
          <w:rFonts w:ascii="Times New Roman" w:eastAsiaTheme="minorEastAsia" w:hAnsi="Times New Roman" w:cs="Times New Roman"/>
          <w:noProof/>
          <w:sz w:val="24"/>
          <w:szCs w:val="24"/>
          <w:lang w:val="pt-PT" w:eastAsia="en-GB"/>
        </w:rPr>
        <w:t xml:space="preserve">Yusuf A, Geleta S, Tessema M, et al. </w:t>
      </w:r>
      <w:r w:rsidRPr="000B2661">
        <w:rPr>
          <w:rFonts w:ascii="Times New Roman" w:eastAsiaTheme="minorEastAsia" w:hAnsi="Times New Roman" w:cs="Times New Roman"/>
          <w:noProof/>
          <w:sz w:val="24"/>
          <w:szCs w:val="24"/>
          <w:lang w:val="en-GB" w:eastAsia="en-GB"/>
        </w:rPr>
        <w:t>Integrated disease surveillance response practice and associated factors among health professionals working in public hospitals in West Hararghe Zone, Eastern Oromia, Ethiopia: multi-center cross-sectional study. J Multidiscip Healthc. 2023;16:1111-1126.</w:t>
      </w:r>
    </w:p>
    <w:p w14:paraId="3516D21C" w14:textId="0AA99FF6" w:rsidR="002A3180" w:rsidRPr="00923FE6" w:rsidRDefault="002A3180" w:rsidP="00EC4594">
      <w:pPr>
        <w:widowControl w:val="0"/>
        <w:autoSpaceDE w:val="0"/>
        <w:autoSpaceDN w:val="0"/>
        <w:adjustRightInd w:val="0"/>
        <w:spacing w:before="120" w:after="120" w:line="240" w:lineRule="auto"/>
        <w:contextualSpacing/>
        <w:rPr>
          <w:rFonts w:ascii="Times New Roman" w:hAnsi="Times New Roman" w:cs="Times New Roman"/>
          <w:noProof/>
          <w:color w:val="000000" w:themeColor="text1"/>
          <w:sz w:val="24"/>
          <w:szCs w:val="24"/>
          <w:lang w:val="en-GB" w:eastAsia="en-GB"/>
        </w:rPr>
      </w:pPr>
      <w:bookmarkStart w:id="14" w:name="_GoBack"/>
      <w:bookmarkEnd w:id="14"/>
    </w:p>
    <w:sectPr w:rsidR="002A3180" w:rsidRPr="00923FE6" w:rsidSect="00AE2B69">
      <w:type w:val="continuous"/>
      <w:pgSz w:w="12240" w:h="15840"/>
      <w:pgMar w:top="1440" w:right="720" w:bottom="1440" w:left="1440" w:header="720" w:footer="72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328B" w14:textId="77777777" w:rsidR="00591804" w:rsidRDefault="00591804" w:rsidP="00D21CD8">
      <w:pPr>
        <w:spacing w:line="240" w:lineRule="auto"/>
      </w:pPr>
      <w:r>
        <w:separator/>
      </w:r>
    </w:p>
  </w:endnote>
  <w:endnote w:type="continuationSeparator" w:id="0">
    <w:p w14:paraId="27B126A7" w14:textId="77777777" w:rsidR="00591804" w:rsidRDefault="00591804" w:rsidP="00D21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FPEF">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342"/>
      <w:docPartObj>
        <w:docPartGallery w:val="Page Numbers (Bottom of Page)"/>
        <w:docPartUnique/>
      </w:docPartObj>
    </w:sdtPr>
    <w:sdtEndPr>
      <w:rPr>
        <w:rFonts w:ascii="Segoe UI" w:hAnsi="Segoe UI" w:cs="Segoe UI"/>
        <w:sz w:val="24"/>
      </w:rPr>
    </w:sdtEndPr>
    <w:sdtContent>
      <w:p w14:paraId="29540D67" w14:textId="69FF262C" w:rsidR="00666946" w:rsidRDefault="00223F88">
        <w:pPr>
          <w:pStyle w:val="Footer"/>
          <w:jc w:val="right"/>
        </w:pPr>
        <w:r>
          <w:fldChar w:fldCharType="begin"/>
        </w:r>
        <w:r>
          <w:instrText xml:space="preserve"> PAGE   \* MERGEFORMAT </w:instrText>
        </w:r>
        <w:r>
          <w:fldChar w:fldCharType="separate"/>
        </w:r>
        <w:r w:rsidR="00591804">
          <w:rPr>
            <w:noProof/>
          </w:rPr>
          <w:t>431</w:t>
        </w:r>
        <w:r>
          <w:rPr>
            <w:noProof/>
          </w:rPr>
          <w:fldChar w:fldCharType="end"/>
        </w:r>
        <w:r w:rsidR="00666946">
          <w:rPr>
            <w:rFonts w:ascii="Segoe UI" w:hAnsi="Segoe UI" w:cs="Segoe UI"/>
            <w:noProof/>
            <w:sz w:val="24"/>
          </w:rPr>
          <mc:AlternateContent>
            <mc:Choice Requires="wps">
              <w:drawing>
                <wp:anchor distT="0" distB="0" distL="114300" distR="114300" simplePos="0" relativeHeight="251670528" behindDoc="1" locked="0" layoutInCell="1" allowOverlap="1" wp14:anchorId="7F315E18" wp14:editId="23F3AF30">
                  <wp:simplePos x="0" y="0"/>
                  <wp:positionH relativeFrom="column">
                    <wp:posOffset>5991225</wp:posOffset>
                  </wp:positionH>
                  <wp:positionV relativeFrom="paragraph">
                    <wp:posOffset>-1270</wp:posOffset>
                  </wp:positionV>
                  <wp:extent cx="628650" cy="285115"/>
                  <wp:effectExtent l="9525" t="8255" r="9525" b="1143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85115"/>
                          </a:xfrm>
                          <a:prstGeom prst="rect">
                            <a:avLst/>
                          </a:prstGeom>
                          <a:solidFill>
                            <a:schemeClr val="tx2">
                              <a:lumMod val="20000"/>
                              <a:lumOff val="80000"/>
                            </a:schemeClr>
                          </a:solidFill>
                          <a:ln w="317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CE6F80" id="Rectangle 7" o:spid="_x0000_s1026" style="position:absolute;margin-left:471.75pt;margin-top:-.1pt;width:49.5pt;height:22.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" fillcolor="#c6d9f1 [671]" strokecolor="blue" strokeweight=".25pt"/>
              </w:pict>
            </mc:Fallback>
          </mc:AlternateContent>
        </w:r>
        <w:r w:rsidR="00666946">
          <w:rPr>
            <w:rFonts w:ascii="Segoe UI" w:hAnsi="Segoe UI" w:cs="Segoe UI"/>
            <w:noProof/>
            <w:sz w:val="24"/>
          </w:rPr>
          <mc:AlternateContent>
            <mc:Choice Requires="wps">
              <w:drawing>
                <wp:anchor distT="0" distB="0" distL="114300" distR="114300" simplePos="0" relativeHeight="251656192" behindDoc="0" locked="0" layoutInCell="1" allowOverlap="1" wp14:anchorId="569490A3" wp14:editId="1C7DB301">
                  <wp:simplePos x="0" y="0"/>
                  <wp:positionH relativeFrom="column">
                    <wp:posOffset>-57150</wp:posOffset>
                  </wp:positionH>
                  <wp:positionV relativeFrom="paragraph">
                    <wp:posOffset>-1905</wp:posOffset>
                  </wp:positionV>
                  <wp:extent cx="6677025" cy="635"/>
                  <wp:effectExtent l="9525" t="7620"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798458" id="_x0000_t32" coordsize="21600,21600" o:spt="32" o:oned="t" path="m,l21600,21600e" filled="f">
                  <v:path arrowok="t" fillok="f" o:connecttype="none"/>
                  <o:lock v:ext="edit" shapetype="t"/>
                </v:shapetype>
                <v:shape id="AutoShape 2" o:spid="_x0000_s1026" type="#_x0000_t32" style="position:absolute;margin-left:-4.5pt;margin-top:-.15pt;width:525.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" strokecolor="blue"/>
              </w:pict>
            </mc:Fallback>
          </mc:AlternateContent>
        </w:r>
      </w:p>
    </w:sdtContent>
  </w:sdt>
  <w:p w14:paraId="1892E75C" w14:textId="7416DA5B" w:rsidR="00666946" w:rsidRPr="00D21CD8" w:rsidRDefault="00666946">
    <w:pPr>
      <w:pStyle w:val="Footer"/>
      <w:rPr>
        <w:rFonts w:ascii="Segoe UI" w:hAnsi="Segoe UI" w:cs="Segoe UI"/>
        <w:i/>
      </w:rPr>
    </w:pPr>
    <w:r>
      <w:rPr>
        <w:rFonts w:ascii="Segoe UI" w:hAnsi="Segoe UI" w:cs="Segoe UI"/>
        <w:i/>
      </w:rPr>
      <w:t>Ethiop. J. Med. Health Sci. 202</w:t>
    </w:r>
    <w:r w:rsidR="00CF6849">
      <w:rPr>
        <w:rFonts w:ascii="Segoe UI" w:hAnsi="Segoe UI" w:cs="Segoe UI"/>
        <w:i/>
      </w:rPr>
      <w:t>4</w:t>
    </w:r>
    <w:r>
      <w:rPr>
        <w:rFonts w:ascii="Segoe UI" w:hAnsi="Segoe UI" w:cs="Segoe UI"/>
        <w:i/>
      </w:rPr>
      <w:t xml:space="preserve">; </w:t>
    </w:r>
    <w:r w:rsidR="00CF6849">
      <w:rPr>
        <w:rFonts w:ascii="Segoe UI" w:hAnsi="Segoe UI" w:cs="Segoe UI"/>
        <w:i/>
      </w:rPr>
      <w:t>4</w:t>
    </w:r>
    <w:r>
      <w:rPr>
        <w:rFonts w:ascii="Segoe UI" w:hAnsi="Segoe UI" w:cs="Segoe UI"/>
        <w:i/>
      </w:rPr>
      <w:t>(</w:t>
    </w:r>
    <w:r w:rsidR="00CF6849">
      <w:rPr>
        <w:rFonts w:ascii="Segoe UI" w:hAnsi="Segoe UI" w:cs="Segoe UI"/>
        <w:i/>
      </w:rPr>
      <w:t>2</w:t>
    </w:r>
    <w:r>
      <w:rPr>
        <w:rFonts w:ascii="Segoe UI" w:hAnsi="Segoe UI" w:cs="Segoe UI"/>
        <w:i/>
      </w:rPr>
      <w:t>):</w:t>
    </w:r>
    <w:r w:rsidR="00223F88">
      <w:rPr>
        <w:rFonts w:ascii="Segoe UI" w:hAnsi="Segoe UI" w:cs="Segoe UI"/>
        <w:i/>
      </w:rPr>
      <w:t>431-443.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0DD1F" w14:textId="77777777" w:rsidR="00591804" w:rsidRDefault="00591804" w:rsidP="00D21CD8">
      <w:pPr>
        <w:spacing w:line="240" w:lineRule="auto"/>
      </w:pPr>
      <w:r>
        <w:separator/>
      </w:r>
    </w:p>
  </w:footnote>
  <w:footnote w:type="continuationSeparator" w:id="0">
    <w:p w14:paraId="6EAEA180" w14:textId="77777777" w:rsidR="00591804" w:rsidRDefault="00591804" w:rsidP="00D21C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042"/>
    <w:multiLevelType w:val="hybridMultilevel"/>
    <w:tmpl w:val="34889DAE"/>
    <w:lvl w:ilvl="0" w:tplc="4E5EBCD2">
      <w:start w:val="1"/>
      <w:numFmt w:val="decimal"/>
      <w:lvlText w:val="%1."/>
      <w:lvlJc w:val="left"/>
      <w:pPr>
        <w:ind w:left="720" w:hanging="360"/>
      </w:pPr>
      <w:rPr>
        <w:rFonts w:hint="default"/>
      </w:rPr>
    </w:lvl>
    <w:lvl w:ilvl="1" w:tplc="36A83C5C" w:tentative="1">
      <w:start w:val="1"/>
      <w:numFmt w:val="lowerLetter"/>
      <w:lvlText w:val="%2."/>
      <w:lvlJc w:val="left"/>
      <w:pPr>
        <w:ind w:left="1440" w:hanging="360"/>
      </w:pPr>
    </w:lvl>
    <w:lvl w:ilvl="2" w:tplc="016C0F6C" w:tentative="1">
      <w:start w:val="1"/>
      <w:numFmt w:val="lowerRoman"/>
      <w:lvlText w:val="%3."/>
      <w:lvlJc w:val="right"/>
      <w:pPr>
        <w:ind w:left="2160" w:hanging="180"/>
      </w:pPr>
    </w:lvl>
    <w:lvl w:ilvl="3" w:tplc="10E2E992" w:tentative="1">
      <w:start w:val="1"/>
      <w:numFmt w:val="decimal"/>
      <w:lvlText w:val="%4."/>
      <w:lvlJc w:val="left"/>
      <w:pPr>
        <w:ind w:left="2880" w:hanging="360"/>
      </w:pPr>
    </w:lvl>
    <w:lvl w:ilvl="4" w:tplc="0B62F890" w:tentative="1">
      <w:start w:val="1"/>
      <w:numFmt w:val="lowerLetter"/>
      <w:lvlText w:val="%5."/>
      <w:lvlJc w:val="left"/>
      <w:pPr>
        <w:ind w:left="3600" w:hanging="360"/>
      </w:pPr>
    </w:lvl>
    <w:lvl w:ilvl="5" w:tplc="524ECC7C" w:tentative="1">
      <w:start w:val="1"/>
      <w:numFmt w:val="lowerRoman"/>
      <w:lvlText w:val="%6."/>
      <w:lvlJc w:val="right"/>
      <w:pPr>
        <w:ind w:left="4320" w:hanging="180"/>
      </w:pPr>
    </w:lvl>
    <w:lvl w:ilvl="6" w:tplc="65E0C07E" w:tentative="1">
      <w:start w:val="1"/>
      <w:numFmt w:val="decimal"/>
      <w:lvlText w:val="%7."/>
      <w:lvlJc w:val="left"/>
      <w:pPr>
        <w:ind w:left="5040" w:hanging="360"/>
      </w:pPr>
    </w:lvl>
    <w:lvl w:ilvl="7" w:tplc="5DF4BF72" w:tentative="1">
      <w:start w:val="1"/>
      <w:numFmt w:val="lowerLetter"/>
      <w:lvlText w:val="%8."/>
      <w:lvlJc w:val="left"/>
      <w:pPr>
        <w:ind w:left="5760" w:hanging="360"/>
      </w:pPr>
    </w:lvl>
    <w:lvl w:ilvl="8" w:tplc="F2425D2E" w:tentative="1">
      <w:start w:val="1"/>
      <w:numFmt w:val="lowerRoman"/>
      <w:lvlText w:val="%9."/>
      <w:lvlJc w:val="right"/>
      <w:pPr>
        <w:ind w:left="6480" w:hanging="180"/>
      </w:pPr>
    </w:lvl>
  </w:abstractNum>
  <w:abstractNum w:abstractNumId="1">
    <w:nsid w:val="0A145229"/>
    <w:multiLevelType w:val="multilevel"/>
    <w:tmpl w:val="71568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471437"/>
    <w:multiLevelType w:val="hybridMultilevel"/>
    <w:tmpl w:val="4F1436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C224D2"/>
    <w:multiLevelType w:val="multilevel"/>
    <w:tmpl w:val="77E04DC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2473321"/>
    <w:multiLevelType w:val="hybridMultilevel"/>
    <w:tmpl w:val="E366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24BFD"/>
    <w:multiLevelType w:val="hybridMultilevel"/>
    <w:tmpl w:val="454A9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37AA7"/>
    <w:multiLevelType w:val="hybridMultilevel"/>
    <w:tmpl w:val="729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1816A0"/>
    <w:multiLevelType w:val="hybridMultilevel"/>
    <w:tmpl w:val="72FC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07A67"/>
    <w:multiLevelType w:val="hybridMultilevel"/>
    <w:tmpl w:val="12280F54"/>
    <w:lvl w:ilvl="0" w:tplc="0472000F">
      <w:start w:val="1"/>
      <w:numFmt w:val="decimal"/>
      <w:lvlText w:val="%1."/>
      <w:lvlJc w:val="left"/>
      <w:pPr>
        <w:ind w:left="720" w:hanging="360"/>
      </w:pPr>
    </w:lvl>
    <w:lvl w:ilvl="1" w:tplc="04720019" w:tentative="1">
      <w:start w:val="1"/>
      <w:numFmt w:val="lowerLetter"/>
      <w:lvlText w:val="%2."/>
      <w:lvlJc w:val="left"/>
      <w:pPr>
        <w:ind w:left="1440" w:hanging="360"/>
      </w:pPr>
    </w:lvl>
    <w:lvl w:ilvl="2" w:tplc="0472001B" w:tentative="1">
      <w:start w:val="1"/>
      <w:numFmt w:val="lowerRoman"/>
      <w:lvlText w:val="%3."/>
      <w:lvlJc w:val="right"/>
      <w:pPr>
        <w:ind w:left="2160" w:hanging="180"/>
      </w:pPr>
    </w:lvl>
    <w:lvl w:ilvl="3" w:tplc="0472000F" w:tentative="1">
      <w:start w:val="1"/>
      <w:numFmt w:val="decimal"/>
      <w:lvlText w:val="%4."/>
      <w:lvlJc w:val="left"/>
      <w:pPr>
        <w:ind w:left="2880" w:hanging="360"/>
      </w:pPr>
    </w:lvl>
    <w:lvl w:ilvl="4" w:tplc="04720019" w:tentative="1">
      <w:start w:val="1"/>
      <w:numFmt w:val="lowerLetter"/>
      <w:lvlText w:val="%5."/>
      <w:lvlJc w:val="left"/>
      <w:pPr>
        <w:ind w:left="3600" w:hanging="360"/>
      </w:pPr>
    </w:lvl>
    <w:lvl w:ilvl="5" w:tplc="0472001B" w:tentative="1">
      <w:start w:val="1"/>
      <w:numFmt w:val="lowerRoman"/>
      <w:lvlText w:val="%6."/>
      <w:lvlJc w:val="right"/>
      <w:pPr>
        <w:ind w:left="4320" w:hanging="180"/>
      </w:pPr>
    </w:lvl>
    <w:lvl w:ilvl="6" w:tplc="0472000F" w:tentative="1">
      <w:start w:val="1"/>
      <w:numFmt w:val="decimal"/>
      <w:lvlText w:val="%7."/>
      <w:lvlJc w:val="left"/>
      <w:pPr>
        <w:ind w:left="5040" w:hanging="360"/>
      </w:pPr>
    </w:lvl>
    <w:lvl w:ilvl="7" w:tplc="04720019" w:tentative="1">
      <w:start w:val="1"/>
      <w:numFmt w:val="lowerLetter"/>
      <w:lvlText w:val="%8."/>
      <w:lvlJc w:val="left"/>
      <w:pPr>
        <w:ind w:left="5760" w:hanging="360"/>
      </w:pPr>
    </w:lvl>
    <w:lvl w:ilvl="8" w:tplc="0472001B" w:tentative="1">
      <w:start w:val="1"/>
      <w:numFmt w:val="lowerRoman"/>
      <w:lvlText w:val="%9."/>
      <w:lvlJc w:val="right"/>
      <w:pPr>
        <w:ind w:left="6480" w:hanging="180"/>
      </w:pPr>
    </w:lvl>
  </w:abstractNum>
  <w:abstractNum w:abstractNumId="9">
    <w:nsid w:val="540E6A8E"/>
    <w:multiLevelType w:val="hybridMultilevel"/>
    <w:tmpl w:val="350A4A72"/>
    <w:lvl w:ilvl="0" w:tplc="48789798">
      <w:start w:val="1"/>
      <w:numFmt w:val="decimal"/>
      <w:lvlText w:val="%1."/>
      <w:lvlJc w:val="left"/>
      <w:pPr>
        <w:ind w:left="1080" w:hanging="720"/>
      </w:pPr>
      <w:rPr>
        <w:rFonts w:hint="default"/>
      </w:rPr>
    </w:lvl>
    <w:lvl w:ilvl="1" w:tplc="04720019" w:tentative="1">
      <w:start w:val="1"/>
      <w:numFmt w:val="lowerLetter"/>
      <w:lvlText w:val="%2."/>
      <w:lvlJc w:val="left"/>
      <w:pPr>
        <w:ind w:left="1440" w:hanging="360"/>
      </w:pPr>
    </w:lvl>
    <w:lvl w:ilvl="2" w:tplc="0472001B" w:tentative="1">
      <w:start w:val="1"/>
      <w:numFmt w:val="lowerRoman"/>
      <w:lvlText w:val="%3."/>
      <w:lvlJc w:val="right"/>
      <w:pPr>
        <w:ind w:left="2160" w:hanging="180"/>
      </w:pPr>
    </w:lvl>
    <w:lvl w:ilvl="3" w:tplc="0472000F" w:tentative="1">
      <w:start w:val="1"/>
      <w:numFmt w:val="decimal"/>
      <w:lvlText w:val="%4."/>
      <w:lvlJc w:val="left"/>
      <w:pPr>
        <w:ind w:left="2880" w:hanging="360"/>
      </w:pPr>
    </w:lvl>
    <w:lvl w:ilvl="4" w:tplc="04720019" w:tentative="1">
      <w:start w:val="1"/>
      <w:numFmt w:val="lowerLetter"/>
      <w:lvlText w:val="%5."/>
      <w:lvlJc w:val="left"/>
      <w:pPr>
        <w:ind w:left="3600" w:hanging="360"/>
      </w:pPr>
    </w:lvl>
    <w:lvl w:ilvl="5" w:tplc="0472001B" w:tentative="1">
      <w:start w:val="1"/>
      <w:numFmt w:val="lowerRoman"/>
      <w:lvlText w:val="%6."/>
      <w:lvlJc w:val="right"/>
      <w:pPr>
        <w:ind w:left="4320" w:hanging="180"/>
      </w:pPr>
    </w:lvl>
    <w:lvl w:ilvl="6" w:tplc="0472000F" w:tentative="1">
      <w:start w:val="1"/>
      <w:numFmt w:val="decimal"/>
      <w:lvlText w:val="%7."/>
      <w:lvlJc w:val="left"/>
      <w:pPr>
        <w:ind w:left="5040" w:hanging="360"/>
      </w:pPr>
    </w:lvl>
    <w:lvl w:ilvl="7" w:tplc="04720019" w:tentative="1">
      <w:start w:val="1"/>
      <w:numFmt w:val="lowerLetter"/>
      <w:lvlText w:val="%8."/>
      <w:lvlJc w:val="left"/>
      <w:pPr>
        <w:ind w:left="5760" w:hanging="360"/>
      </w:pPr>
    </w:lvl>
    <w:lvl w:ilvl="8" w:tplc="0472001B" w:tentative="1">
      <w:start w:val="1"/>
      <w:numFmt w:val="lowerRoman"/>
      <w:lvlText w:val="%9."/>
      <w:lvlJc w:val="right"/>
      <w:pPr>
        <w:ind w:left="6480" w:hanging="180"/>
      </w:pPr>
    </w:lvl>
  </w:abstractNum>
  <w:abstractNum w:abstractNumId="10">
    <w:nsid w:val="54174EB6"/>
    <w:multiLevelType w:val="hybridMultilevel"/>
    <w:tmpl w:val="ABAC9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796166"/>
    <w:multiLevelType w:val="hybridMultilevel"/>
    <w:tmpl w:val="FC063D0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6DF7915"/>
    <w:multiLevelType w:val="hybridMultilevel"/>
    <w:tmpl w:val="F5E4BCF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605F6E98"/>
    <w:multiLevelType w:val="hybridMultilevel"/>
    <w:tmpl w:val="0A304CDC"/>
    <w:lvl w:ilvl="0" w:tplc="B2B41D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62872C0B"/>
    <w:multiLevelType w:val="multilevel"/>
    <w:tmpl w:val="1A8E3BE8"/>
    <w:lvl w:ilvl="0">
      <w:start w:val="1"/>
      <w:numFmt w:val="decimal"/>
      <w:lvlText w:val="%1."/>
      <w:lvlJc w:val="left"/>
      <w:pPr>
        <w:ind w:left="720" w:hanging="360"/>
      </w:pPr>
      <w:rPr>
        <w:rFonts w:hint="default"/>
      </w:rPr>
    </w:lvl>
    <w:lvl w:ilvl="1">
      <w:start w:val="1"/>
      <w:numFmt w:val="decimal"/>
      <w:isLgl/>
      <w:lvlText w:val="%1.%2"/>
      <w:lvlJc w:val="left"/>
      <w:pPr>
        <w:ind w:left="18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7FB592B"/>
    <w:multiLevelType w:val="multilevel"/>
    <w:tmpl w:val="01CAD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D55311E"/>
    <w:multiLevelType w:val="multilevel"/>
    <w:tmpl w:val="2DBCE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5"/>
  </w:num>
  <w:num w:numId="3">
    <w:abstractNumId w:val="16"/>
  </w:num>
  <w:num w:numId="4">
    <w:abstractNumId w:val="1"/>
  </w:num>
  <w:num w:numId="5">
    <w:abstractNumId w:val="15"/>
  </w:num>
  <w:num w:numId="6">
    <w:abstractNumId w:val="16"/>
  </w:num>
  <w:num w:numId="7">
    <w:abstractNumId w:val="4"/>
  </w:num>
  <w:num w:numId="8">
    <w:abstractNumId w:val="10"/>
  </w:num>
  <w:num w:numId="9">
    <w:abstractNumId w:val="13"/>
  </w:num>
  <w:num w:numId="10">
    <w:abstractNumId w:val="14"/>
  </w:num>
  <w:num w:numId="11">
    <w:abstractNumId w:val="12"/>
  </w:num>
  <w:num w:numId="12">
    <w:abstractNumId w:val="11"/>
  </w:num>
  <w:num w:numId="13">
    <w:abstractNumId w:val="2"/>
  </w:num>
  <w:num w:numId="14">
    <w:abstractNumId w:val="3"/>
  </w:num>
  <w:num w:numId="15">
    <w:abstractNumId w:val="7"/>
  </w:num>
  <w:num w:numId="16">
    <w:abstractNumId w:val="0"/>
  </w:num>
  <w:num w:numId="17">
    <w:abstractNumId w:val="5"/>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xNDQyMzA2sjA3NzdT0lEKTi0uzszPAykwrgUA+IbbZiwAAAA="/>
  </w:docVars>
  <w:rsids>
    <w:rsidRoot w:val="009B6795"/>
    <w:rsid w:val="000030CA"/>
    <w:rsid w:val="000053BF"/>
    <w:rsid w:val="000053F5"/>
    <w:rsid w:val="00006777"/>
    <w:rsid w:val="00010D2F"/>
    <w:rsid w:val="00020C2A"/>
    <w:rsid w:val="000343DB"/>
    <w:rsid w:val="00034CB6"/>
    <w:rsid w:val="0003517F"/>
    <w:rsid w:val="000368B6"/>
    <w:rsid w:val="00042A36"/>
    <w:rsid w:val="00050512"/>
    <w:rsid w:val="0005475A"/>
    <w:rsid w:val="000645BA"/>
    <w:rsid w:val="00067830"/>
    <w:rsid w:val="000726E5"/>
    <w:rsid w:val="00075CD0"/>
    <w:rsid w:val="00076EE8"/>
    <w:rsid w:val="0008459E"/>
    <w:rsid w:val="0009133F"/>
    <w:rsid w:val="00092B6F"/>
    <w:rsid w:val="00095149"/>
    <w:rsid w:val="000A2108"/>
    <w:rsid w:val="000B2661"/>
    <w:rsid w:val="000B55FE"/>
    <w:rsid w:val="000C04A1"/>
    <w:rsid w:val="000C36F8"/>
    <w:rsid w:val="000C5B13"/>
    <w:rsid w:val="000C7DAE"/>
    <w:rsid w:val="000D0F53"/>
    <w:rsid w:val="000D36A9"/>
    <w:rsid w:val="000D5435"/>
    <w:rsid w:val="000D7CFC"/>
    <w:rsid w:val="000E207C"/>
    <w:rsid w:val="000F2431"/>
    <w:rsid w:val="00101BFD"/>
    <w:rsid w:val="00105E9B"/>
    <w:rsid w:val="0011143B"/>
    <w:rsid w:val="00111609"/>
    <w:rsid w:val="00122B68"/>
    <w:rsid w:val="0014061B"/>
    <w:rsid w:val="00141236"/>
    <w:rsid w:val="001462CF"/>
    <w:rsid w:val="00150CD2"/>
    <w:rsid w:val="0015487A"/>
    <w:rsid w:val="00156F73"/>
    <w:rsid w:val="00164E74"/>
    <w:rsid w:val="00166F73"/>
    <w:rsid w:val="00167289"/>
    <w:rsid w:val="00167B11"/>
    <w:rsid w:val="00171071"/>
    <w:rsid w:val="00177103"/>
    <w:rsid w:val="00182BD8"/>
    <w:rsid w:val="00190669"/>
    <w:rsid w:val="001A0F28"/>
    <w:rsid w:val="001A7A2E"/>
    <w:rsid w:val="001B4873"/>
    <w:rsid w:val="001C020E"/>
    <w:rsid w:val="001C178A"/>
    <w:rsid w:val="001C2012"/>
    <w:rsid w:val="001D1CDE"/>
    <w:rsid w:val="001E30BD"/>
    <w:rsid w:val="001E5BBA"/>
    <w:rsid w:val="001E72E5"/>
    <w:rsid w:val="001F147B"/>
    <w:rsid w:val="001F3F9B"/>
    <w:rsid w:val="001F7A59"/>
    <w:rsid w:val="00201E04"/>
    <w:rsid w:val="0020604A"/>
    <w:rsid w:val="002124F0"/>
    <w:rsid w:val="002137C8"/>
    <w:rsid w:val="002176C0"/>
    <w:rsid w:val="002177E2"/>
    <w:rsid w:val="00223F88"/>
    <w:rsid w:val="0023540C"/>
    <w:rsid w:val="00237302"/>
    <w:rsid w:val="002407DF"/>
    <w:rsid w:val="00246B04"/>
    <w:rsid w:val="00246DA8"/>
    <w:rsid w:val="00250300"/>
    <w:rsid w:val="00253359"/>
    <w:rsid w:val="00261CF3"/>
    <w:rsid w:val="002660FA"/>
    <w:rsid w:val="002669CC"/>
    <w:rsid w:val="00272FB8"/>
    <w:rsid w:val="00275359"/>
    <w:rsid w:val="00280A5A"/>
    <w:rsid w:val="00282BCB"/>
    <w:rsid w:val="00284A5D"/>
    <w:rsid w:val="0029134D"/>
    <w:rsid w:val="0029201B"/>
    <w:rsid w:val="00292BC5"/>
    <w:rsid w:val="002A0089"/>
    <w:rsid w:val="002A1764"/>
    <w:rsid w:val="002A19FF"/>
    <w:rsid w:val="002A3180"/>
    <w:rsid w:val="002A5124"/>
    <w:rsid w:val="002B0BB1"/>
    <w:rsid w:val="002B515A"/>
    <w:rsid w:val="002B7BA6"/>
    <w:rsid w:val="002C2F5B"/>
    <w:rsid w:val="002D117B"/>
    <w:rsid w:val="002E0AF4"/>
    <w:rsid w:val="002E5ACD"/>
    <w:rsid w:val="002F01D7"/>
    <w:rsid w:val="002F3513"/>
    <w:rsid w:val="002F696C"/>
    <w:rsid w:val="002F7A0E"/>
    <w:rsid w:val="00301994"/>
    <w:rsid w:val="003019B8"/>
    <w:rsid w:val="00306280"/>
    <w:rsid w:val="003073F1"/>
    <w:rsid w:val="003235C5"/>
    <w:rsid w:val="00325B73"/>
    <w:rsid w:val="003272E2"/>
    <w:rsid w:val="00334D91"/>
    <w:rsid w:val="003460AB"/>
    <w:rsid w:val="003463CC"/>
    <w:rsid w:val="003467D9"/>
    <w:rsid w:val="00361505"/>
    <w:rsid w:val="00365234"/>
    <w:rsid w:val="00367744"/>
    <w:rsid w:val="00367F42"/>
    <w:rsid w:val="00372B23"/>
    <w:rsid w:val="0037577A"/>
    <w:rsid w:val="00375D2A"/>
    <w:rsid w:val="003774AA"/>
    <w:rsid w:val="0038206F"/>
    <w:rsid w:val="00382C30"/>
    <w:rsid w:val="00385D12"/>
    <w:rsid w:val="00397222"/>
    <w:rsid w:val="003A1226"/>
    <w:rsid w:val="003C49D8"/>
    <w:rsid w:val="003C5791"/>
    <w:rsid w:val="003D47DE"/>
    <w:rsid w:val="003D7E94"/>
    <w:rsid w:val="003E1078"/>
    <w:rsid w:val="003E358A"/>
    <w:rsid w:val="003E70E4"/>
    <w:rsid w:val="003F44FF"/>
    <w:rsid w:val="003F6CA5"/>
    <w:rsid w:val="004049C4"/>
    <w:rsid w:val="00406E02"/>
    <w:rsid w:val="00407579"/>
    <w:rsid w:val="00414202"/>
    <w:rsid w:val="004239EE"/>
    <w:rsid w:val="00424932"/>
    <w:rsid w:val="0042554B"/>
    <w:rsid w:val="004312E5"/>
    <w:rsid w:val="004316D3"/>
    <w:rsid w:val="00432FC5"/>
    <w:rsid w:val="00441AB9"/>
    <w:rsid w:val="00443CB8"/>
    <w:rsid w:val="004454C1"/>
    <w:rsid w:val="00457424"/>
    <w:rsid w:val="00467056"/>
    <w:rsid w:val="00473512"/>
    <w:rsid w:val="00473A42"/>
    <w:rsid w:val="00481069"/>
    <w:rsid w:val="0048593B"/>
    <w:rsid w:val="004A1101"/>
    <w:rsid w:val="004B0C12"/>
    <w:rsid w:val="004B30AE"/>
    <w:rsid w:val="004B6650"/>
    <w:rsid w:val="004C4E81"/>
    <w:rsid w:val="004D191B"/>
    <w:rsid w:val="004D21C2"/>
    <w:rsid w:val="004E24DE"/>
    <w:rsid w:val="004E34DA"/>
    <w:rsid w:val="004E3830"/>
    <w:rsid w:val="004E39B0"/>
    <w:rsid w:val="004E3A82"/>
    <w:rsid w:val="004E4B96"/>
    <w:rsid w:val="004E7D9F"/>
    <w:rsid w:val="004E7EAB"/>
    <w:rsid w:val="004F4DD5"/>
    <w:rsid w:val="00504C01"/>
    <w:rsid w:val="00505BC0"/>
    <w:rsid w:val="00510A2A"/>
    <w:rsid w:val="00513977"/>
    <w:rsid w:val="00514A4A"/>
    <w:rsid w:val="00516823"/>
    <w:rsid w:val="00526D2A"/>
    <w:rsid w:val="00530F3A"/>
    <w:rsid w:val="00541911"/>
    <w:rsid w:val="00541B4D"/>
    <w:rsid w:val="00544B14"/>
    <w:rsid w:val="00563734"/>
    <w:rsid w:val="005665BE"/>
    <w:rsid w:val="005708AD"/>
    <w:rsid w:val="005723AE"/>
    <w:rsid w:val="00575299"/>
    <w:rsid w:val="00577567"/>
    <w:rsid w:val="005779E1"/>
    <w:rsid w:val="005823B0"/>
    <w:rsid w:val="0058648F"/>
    <w:rsid w:val="00586C6A"/>
    <w:rsid w:val="00587485"/>
    <w:rsid w:val="0059020B"/>
    <w:rsid w:val="00590728"/>
    <w:rsid w:val="00591804"/>
    <w:rsid w:val="00591A9D"/>
    <w:rsid w:val="00594854"/>
    <w:rsid w:val="00597D35"/>
    <w:rsid w:val="005A0638"/>
    <w:rsid w:val="005A33BA"/>
    <w:rsid w:val="005A6805"/>
    <w:rsid w:val="005A7BA8"/>
    <w:rsid w:val="005B3B28"/>
    <w:rsid w:val="005B65F9"/>
    <w:rsid w:val="005D2EB1"/>
    <w:rsid w:val="005D7FAF"/>
    <w:rsid w:val="005E5E89"/>
    <w:rsid w:val="005E675A"/>
    <w:rsid w:val="00602755"/>
    <w:rsid w:val="00602931"/>
    <w:rsid w:val="00610BBB"/>
    <w:rsid w:val="006126B1"/>
    <w:rsid w:val="0061616E"/>
    <w:rsid w:val="00621DBF"/>
    <w:rsid w:val="00625009"/>
    <w:rsid w:val="006313A1"/>
    <w:rsid w:val="006357DE"/>
    <w:rsid w:val="00641790"/>
    <w:rsid w:val="0065225A"/>
    <w:rsid w:val="0065495F"/>
    <w:rsid w:val="00655F60"/>
    <w:rsid w:val="00661B1E"/>
    <w:rsid w:val="00661D6E"/>
    <w:rsid w:val="006632D6"/>
    <w:rsid w:val="00665945"/>
    <w:rsid w:val="006667B6"/>
    <w:rsid w:val="00666946"/>
    <w:rsid w:val="0067645A"/>
    <w:rsid w:val="006765D7"/>
    <w:rsid w:val="00683BB5"/>
    <w:rsid w:val="00686F6D"/>
    <w:rsid w:val="00693FBF"/>
    <w:rsid w:val="0069734C"/>
    <w:rsid w:val="006A3749"/>
    <w:rsid w:val="006A4041"/>
    <w:rsid w:val="006A45A0"/>
    <w:rsid w:val="006A5578"/>
    <w:rsid w:val="006A71FD"/>
    <w:rsid w:val="006B4B6A"/>
    <w:rsid w:val="006B5823"/>
    <w:rsid w:val="006C20BE"/>
    <w:rsid w:val="006C2C80"/>
    <w:rsid w:val="006D27A8"/>
    <w:rsid w:val="006D4838"/>
    <w:rsid w:val="006D73D3"/>
    <w:rsid w:val="006F3C3A"/>
    <w:rsid w:val="00703F5E"/>
    <w:rsid w:val="00704AE2"/>
    <w:rsid w:val="007100AA"/>
    <w:rsid w:val="0071646F"/>
    <w:rsid w:val="00720C8F"/>
    <w:rsid w:val="007248C8"/>
    <w:rsid w:val="00730A00"/>
    <w:rsid w:val="0073135C"/>
    <w:rsid w:val="00743FDC"/>
    <w:rsid w:val="00745E71"/>
    <w:rsid w:val="00747AE5"/>
    <w:rsid w:val="007515F1"/>
    <w:rsid w:val="007519E1"/>
    <w:rsid w:val="007528E2"/>
    <w:rsid w:val="007540D9"/>
    <w:rsid w:val="0076121D"/>
    <w:rsid w:val="00764893"/>
    <w:rsid w:val="00773DF1"/>
    <w:rsid w:val="00774143"/>
    <w:rsid w:val="00783892"/>
    <w:rsid w:val="007A0AAE"/>
    <w:rsid w:val="007A55E6"/>
    <w:rsid w:val="007A7613"/>
    <w:rsid w:val="007B1B49"/>
    <w:rsid w:val="007B3133"/>
    <w:rsid w:val="007C3034"/>
    <w:rsid w:val="007C6AFB"/>
    <w:rsid w:val="007D1DA6"/>
    <w:rsid w:val="007D5914"/>
    <w:rsid w:val="007D5FC4"/>
    <w:rsid w:val="007D6FD2"/>
    <w:rsid w:val="007D71CB"/>
    <w:rsid w:val="007E1711"/>
    <w:rsid w:val="007E2085"/>
    <w:rsid w:val="007F2F1F"/>
    <w:rsid w:val="007F35C7"/>
    <w:rsid w:val="007F565B"/>
    <w:rsid w:val="007F76B2"/>
    <w:rsid w:val="00800681"/>
    <w:rsid w:val="008050D7"/>
    <w:rsid w:val="00817D87"/>
    <w:rsid w:val="008242F2"/>
    <w:rsid w:val="00833548"/>
    <w:rsid w:val="00835041"/>
    <w:rsid w:val="008413B3"/>
    <w:rsid w:val="00846575"/>
    <w:rsid w:val="00863F8C"/>
    <w:rsid w:val="00865D10"/>
    <w:rsid w:val="00871613"/>
    <w:rsid w:val="00872087"/>
    <w:rsid w:val="00873597"/>
    <w:rsid w:val="008743DC"/>
    <w:rsid w:val="00874B99"/>
    <w:rsid w:val="008771A1"/>
    <w:rsid w:val="00877FA9"/>
    <w:rsid w:val="00881271"/>
    <w:rsid w:val="00890E19"/>
    <w:rsid w:val="00894618"/>
    <w:rsid w:val="008A39A3"/>
    <w:rsid w:val="008A588F"/>
    <w:rsid w:val="008D01B9"/>
    <w:rsid w:val="008D0E69"/>
    <w:rsid w:val="008D110A"/>
    <w:rsid w:val="008D71C3"/>
    <w:rsid w:val="008E1B72"/>
    <w:rsid w:val="008E2316"/>
    <w:rsid w:val="008E4ADE"/>
    <w:rsid w:val="008F1BDC"/>
    <w:rsid w:val="008F327B"/>
    <w:rsid w:val="008F3394"/>
    <w:rsid w:val="008F4CF4"/>
    <w:rsid w:val="00902EB1"/>
    <w:rsid w:val="00911B9A"/>
    <w:rsid w:val="00912969"/>
    <w:rsid w:val="00913448"/>
    <w:rsid w:val="0092177B"/>
    <w:rsid w:val="00924008"/>
    <w:rsid w:val="00932BC9"/>
    <w:rsid w:val="00932DB6"/>
    <w:rsid w:val="00937E29"/>
    <w:rsid w:val="00940630"/>
    <w:rsid w:val="00940762"/>
    <w:rsid w:val="00940C75"/>
    <w:rsid w:val="00940DAA"/>
    <w:rsid w:val="00942F37"/>
    <w:rsid w:val="00945348"/>
    <w:rsid w:val="00965698"/>
    <w:rsid w:val="0097262C"/>
    <w:rsid w:val="0097607F"/>
    <w:rsid w:val="00976B9B"/>
    <w:rsid w:val="00980595"/>
    <w:rsid w:val="00986769"/>
    <w:rsid w:val="00990399"/>
    <w:rsid w:val="00990751"/>
    <w:rsid w:val="00996806"/>
    <w:rsid w:val="009A0419"/>
    <w:rsid w:val="009A351C"/>
    <w:rsid w:val="009B0F27"/>
    <w:rsid w:val="009B6795"/>
    <w:rsid w:val="009C000F"/>
    <w:rsid w:val="009C698D"/>
    <w:rsid w:val="009F7E63"/>
    <w:rsid w:val="00A00ADC"/>
    <w:rsid w:val="00A079D1"/>
    <w:rsid w:val="00A161B7"/>
    <w:rsid w:val="00A1766A"/>
    <w:rsid w:val="00A17C1B"/>
    <w:rsid w:val="00A17DDF"/>
    <w:rsid w:val="00A21FA5"/>
    <w:rsid w:val="00A23A87"/>
    <w:rsid w:val="00A34AF0"/>
    <w:rsid w:val="00A4318C"/>
    <w:rsid w:val="00A4521D"/>
    <w:rsid w:val="00A47F51"/>
    <w:rsid w:val="00A5172B"/>
    <w:rsid w:val="00A55A11"/>
    <w:rsid w:val="00A56371"/>
    <w:rsid w:val="00A664F2"/>
    <w:rsid w:val="00A67771"/>
    <w:rsid w:val="00A67D51"/>
    <w:rsid w:val="00A75386"/>
    <w:rsid w:val="00A76813"/>
    <w:rsid w:val="00A77E4C"/>
    <w:rsid w:val="00A91C08"/>
    <w:rsid w:val="00A95975"/>
    <w:rsid w:val="00A972CE"/>
    <w:rsid w:val="00AA61E3"/>
    <w:rsid w:val="00AA7355"/>
    <w:rsid w:val="00AA7FCE"/>
    <w:rsid w:val="00AB0FB9"/>
    <w:rsid w:val="00AB226C"/>
    <w:rsid w:val="00AB2434"/>
    <w:rsid w:val="00AB348F"/>
    <w:rsid w:val="00AB7F0B"/>
    <w:rsid w:val="00AC2309"/>
    <w:rsid w:val="00AC300D"/>
    <w:rsid w:val="00AC3FAD"/>
    <w:rsid w:val="00AC71A1"/>
    <w:rsid w:val="00AE2B69"/>
    <w:rsid w:val="00AE7D44"/>
    <w:rsid w:val="00AF0BE8"/>
    <w:rsid w:val="00AF6CB6"/>
    <w:rsid w:val="00B0396D"/>
    <w:rsid w:val="00B055CE"/>
    <w:rsid w:val="00B07B5D"/>
    <w:rsid w:val="00B107EA"/>
    <w:rsid w:val="00B20BE9"/>
    <w:rsid w:val="00B21C55"/>
    <w:rsid w:val="00B2255F"/>
    <w:rsid w:val="00B26008"/>
    <w:rsid w:val="00B30F49"/>
    <w:rsid w:val="00B331F4"/>
    <w:rsid w:val="00B33A77"/>
    <w:rsid w:val="00B346F7"/>
    <w:rsid w:val="00B46107"/>
    <w:rsid w:val="00B46860"/>
    <w:rsid w:val="00B50BC4"/>
    <w:rsid w:val="00B50DD3"/>
    <w:rsid w:val="00B520D3"/>
    <w:rsid w:val="00B550B8"/>
    <w:rsid w:val="00B56688"/>
    <w:rsid w:val="00B62126"/>
    <w:rsid w:val="00B62C3A"/>
    <w:rsid w:val="00B71EC0"/>
    <w:rsid w:val="00B836FC"/>
    <w:rsid w:val="00B850C2"/>
    <w:rsid w:val="00B86603"/>
    <w:rsid w:val="00B86717"/>
    <w:rsid w:val="00B94AC4"/>
    <w:rsid w:val="00BA3E2C"/>
    <w:rsid w:val="00BA3FBE"/>
    <w:rsid w:val="00BA4D5E"/>
    <w:rsid w:val="00BA720D"/>
    <w:rsid w:val="00BB09E4"/>
    <w:rsid w:val="00BB5679"/>
    <w:rsid w:val="00BB56AF"/>
    <w:rsid w:val="00BB7D23"/>
    <w:rsid w:val="00BC45B4"/>
    <w:rsid w:val="00BC4EED"/>
    <w:rsid w:val="00BC5551"/>
    <w:rsid w:val="00BD1F54"/>
    <w:rsid w:val="00BE21A9"/>
    <w:rsid w:val="00BE4356"/>
    <w:rsid w:val="00BF0D27"/>
    <w:rsid w:val="00BF3774"/>
    <w:rsid w:val="00BF5BDD"/>
    <w:rsid w:val="00BF7CD7"/>
    <w:rsid w:val="00C014FA"/>
    <w:rsid w:val="00C03A45"/>
    <w:rsid w:val="00C04EA8"/>
    <w:rsid w:val="00C05B1B"/>
    <w:rsid w:val="00C069F7"/>
    <w:rsid w:val="00C06C8F"/>
    <w:rsid w:val="00C20E93"/>
    <w:rsid w:val="00C21252"/>
    <w:rsid w:val="00C341F5"/>
    <w:rsid w:val="00C40D8F"/>
    <w:rsid w:val="00C519D4"/>
    <w:rsid w:val="00C51F50"/>
    <w:rsid w:val="00C63386"/>
    <w:rsid w:val="00C65171"/>
    <w:rsid w:val="00C669EA"/>
    <w:rsid w:val="00C675BA"/>
    <w:rsid w:val="00C7237D"/>
    <w:rsid w:val="00C742F2"/>
    <w:rsid w:val="00C7449C"/>
    <w:rsid w:val="00C764B4"/>
    <w:rsid w:val="00C76628"/>
    <w:rsid w:val="00C802F8"/>
    <w:rsid w:val="00CA0410"/>
    <w:rsid w:val="00CA2465"/>
    <w:rsid w:val="00CB0EA9"/>
    <w:rsid w:val="00CB34F2"/>
    <w:rsid w:val="00CB5737"/>
    <w:rsid w:val="00CB5ADE"/>
    <w:rsid w:val="00CC4096"/>
    <w:rsid w:val="00CD2589"/>
    <w:rsid w:val="00CD632C"/>
    <w:rsid w:val="00CE0382"/>
    <w:rsid w:val="00CF6849"/>
    <w:rsid w:val="00D00BEF"/>
    <w:rsid w:val="00D0350C"/>
    <w:rsid w:val="00D05903"/>
    <w:rsid w:val="00D075CA"/>
    <w:rsid w:val="00D21CD8"/>
    <w:rsid w:val="00D251BE"/>
    <w:rsid w:val="00D31A93"/>
    <w:rsid w:val="00D40993"/>
    <w:rsid w:val="00D45658"/>
    <w:rsid w:val="00D45FA8"/>
    <w:rsid w:val="00D53887"/>
    <w:rsid w:val="00D554DF"/>
    <w:rsid w:val="00D673AE"/>
    <w:rsid w:val="00D67A3A"/>
    <w:rsid w:val="00D701DA"/>
    <w:rsid w:val="00D80F37"/>
    <w:rsid w:val="00D82414"/>
    <w:rsid w:val="00D84E08"/>
    <w:rsid w:val="00D8689B"/>
    <w:rsid w:val="00D93E91"/>
    <w:rsid w:val="00DA0981"/>
    <w:rsid w:val="00DA44AD"/>
    <w:rsid w:val="00DB203C"/>
    <w:rsid w:val="00DB2070"/>
    <w:rsid w:val="00DB23EE"/>
    <w:rsid w:val="00DB27D2"/>
    <w:rsid w:val="00DB5106"/>
    <w:rsid w:val="00DB6AC2"/>
    <w:rsid w:val="00DC1490"/>
    <w:rsid w:val="00DD222A"/>
    <w:rsid w:val="00DD40B5"/>
    <w:rsid w:val="00DD5C9B"/>
    <w:rsid w:val="00DD79D8"/>
    <w:rsid w:val="00DE14C5"/>
    <w:rsid w:val="00DE2F8E"/>
    <w:rsid w:val="00DE4450"/>
    <w:rsid w:val="00DE7D92"/>
    <w:rsid w:val="00DF01A0"/>
    <w:rsid w:val="00DF16E9"/>
    <w:rsid w:val="00DF1E45"/>
    <w:rsid w:val="00DF1E9B"/>
    <w:rsid w:val="00DF577D"/>
    <w:rsid w:val="00E05357"/>
    <w:rsid w:val="00E05A57"/>
    <w:rsid w:val="00E10815"/>
    <w:rsid w:val="00E11E97"/>
    <w:rsid w:val="00E2220D"/>
    <w:rsid w:val="00E25FAF"/>
    <w:rsid w:val="00E30CE3"/>
    <w:rsid w:val="00E33EE5"/>
    <w:rsid w:val="00E37D65"/>
    <w:rsid w:val="00E42DDE"/>
    <w:rsid w:val="00E55346"/>
    <w:rsid w:val="00E63842"/>
    <w:rsid w:val="00E6483E"/>
    <w:rsid w:val="00E648D4"/>
    <w:rsid w:val="00E70333"/>
    <w:rsid w:val="00E72A45"/>
    <w:rsid w:val="00E73B2B"/>
    <w:rsid w:val="00E91F35"/>
    <w:rsid w:val="00EA3E02"/>
    <w:rsid w:val="00EB23BC"/>
    <w:rsid w:val="00EC0E95"/>
    <w:rsid w:val="00EC4594"/>
    <w:rsid w:val="00EE3358"/>
    <w:rsid w:val="00F041A9"/>
    <w:rsid w:val="00F07849"/>
    <w:rsid w:val="00F15955"/>
    <w:rsid w:val="00F23ED8"/>
    <w:rsid w:val="00F25A53"/>
    <w:rsid w:val="00F31758"/>
    <w:rsid w:val="00F3589F"/>
    <w:rsid w:val="00F3668D"/>
    <w:rsid w:val="00F432CE"/>
    <w:rsid w:val="00F452B1"/>
    <w:rsid w:val="00F501DC"/>
    <w:rsid w:val="00F512AB"/>
    <w:rsid w:val="00F51F34"/>
    <w:rsid w:val="00F54B8F"/>
    <w:rsid w:val="00F6146D"/>
    <w:rsid w:val="00F616E4"/>
    <w:rsid w:val="00F65D7B"/>
    <w:rsid w:val="00F67685"/>
    <w:rsid w:val="00F7289E"/>
    <w:rsid w:val="00F8097A"/>
    <w:rsid w:val="00F812EB"/>
    <w:rsid w:val="00F83452"/>
    <w:rsid w:val="00F83DC2"/>
    <w:rsid w:val="00F86631"/>
    <w:rsid w:val="00F927EE"/>
    <w:rsid w:val="00F96B2B"/>
    <w:rsid w:val="00FA1D22"/>
    <w:rsid w:val="00FA650F"/>
    <w:rsid w:val="00FB06B5"/>
    <w:rsid w:val="00FB0935"/>
    <w:rsid w:val="00FB43C5"/>
    <w:rsid w:val="00FB66B1"/>
    <w:rsid w:val="00FB702E"/>
    <w:rsid w:val="00FC659E"/>
    <w:rsid w:val="00FC7E15"/>
    <w:rsid w:val="00FD03DF"/>
    <w:rsid w:val="00FD2E5F"/>
    <w:rsid w:val="00FD5B25"/>
    <w:rsid w:val="00FE050F"/>
    <w:rsid w:val="00FE399F"/>
    <w:rsid w:val="00FF3294"/>
    <w:rsid w:val="00FF5C3C"/>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1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AE"/>
  </w:style>
  <w:style w:type="paragraph" w:styleId="Heading1">
    <w:name w:val="heading 1"/>
    <w:basedOn w:val="Normal"/>
    <w:next w:val="Normal"/>
    <w:link w:val="Heading1Char"/>
    <w:uiPriority w:val="9"/>
    <w:qFormat/>
    <w:rsid w:val="00704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3774"/>
    <w:pPr>
      <w:keepNext/>
      <w:keepLines/>
      <w:spacing w:before="40" w:line="276" w:lineRule="auto"/>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23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2F5B"/>
    <w:pPr>
      <w:keepNext/>
      <w:keepLines/>
      <w:spacing w:before="200" w:line="276" w:lineRule="auto"/>
      <w:jc w:val="left"/>
      <w:outlineLvl w:val="3"/>
    </w:pPr>
    <w:rPr>
      <w:rFonts w:asciiTheme="majorHAnsi" w:eastAsiaTheme="majorEastAsia" w:hAnsiTheme="majorHAnsi" w:cstheme="majorBidi"/>
      <w:b/>
      <w:bCs/>
      <w:i/>
      <w:iCs/>
      <w:color w:val="4F81BD" w:themeColor="accent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795"/>
    <w:rPr>
      <w:color w:val="0000FF"/>
      <w:u w:val="single"/>
    </w:rPr>
  </w:style>
  <w:style w:type="character" w:customStyle="1" w:styleId="fontstyle01">
    <w:name w:val="fontstyle01"/>
    <w:basedOn w:val="DefaultParagraphFont"/>
    <w:rsid w:val="00940C75"/>
    <w:rPr>
      <w:rFonts w:ascii="TimesNewRomanPS-BoldMT" w:hAnsi="TimesNewRomanPS-BoldMT" w:hint="default"/>
      <w:b/>
      <w:bCs/>
      <w:i w:val="0"/>
      <w:iCs w:val="0"/>
      <w:color w:val="000000"/>
      <w:sz w:val="28"/>
      <w:szCs w:val="28"/>
    </w:rPr>
  </w:style>
  <w:style w:type="table" w:styleId="TableGrid">
    <w:name w:val="Table Grid"/>
    <w:basedOn w:val="TableNormal"/>
    <w:uiPriority w:val="59"/>
    <w:qFormat/>
    <w:rsid w:val="0036774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67744"/>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21CD8"/>
    <w:pPr>
      <w:tabs>
        <w:tab w:val="center" w:pos="4680"/>
        <w:tab w:val="right" w:pos="9360"/>
      </w:tabs>
      <w:spacing w:line="240" w:lineRule="auto"/>
    </w:pPr>
  </w:style>
  <w:style w:type="character" w:customStyle="1" w:styleId="HeaderChar">
    <w:name w:val="Header Char"/>
    <w:basedOn w:val="DefaultParagraphFont"/>
    <w:link w:val="Header"/>
    <w:uiPriority w:val="99"/>
    <w:rsid w:val="00D21CD8"/>
  </w:style>
  <w:style w:type="paragraph" w:styleId="Footer">
    <w:name w:val="footer"/>
    <w:basedOn w:val="Normal"/>
    <w:link w:val="FooterChar"/>
    <w:uiPriority w:val="99"/>
    <w:unhideWhenUsed/>
    <w:rsid w:val="00D21CD8"/>
    <w:pPr>
      <w:tabs>
        <w:tab w:val="center" w:pos="4680"/>
        <w:tab w:val="right" w:pos="9360"/>
      </w:tabs>
      <w:spacing w:line="240" w:lineRule="auto"/>
    </w:pPr>
  </w:style>
  <w:style w:type="character" w:customStyle="1" w:styleId="FooterChar">
    <w:name w:val="Footer Char"/>
    <w:basedOn w:val="DefaultParagraphFont"/>
    <w:link w:val="Footer"/>
    <w:uiPriority w:val="99"/>
    <w:rsid w:val="00D21CD8"/>
  </w:style>
  <w:style w:type="paragraph" w:styleId="FootnoteText">
    <w:name w:val="footnote text"/>
    <w:basedOn w:val="Normal"/>
    <w:link w:val="FootnoteTextChar"/>
    <w:uiPriority w:val="99"/>
    <w:semiHidden/>
    <w:unhideWhenUsed/>
    <w:rsid w:val="00563734"/>
    <w:pPr>
      <w:spacing w:line="240" w:lineRule="auto"/>
    </w:pPr>
    <w:rPr>
      <w:sz w:val="20"/>
      <w:szCs w:val="20"/>
    </w:rPr>
  </w:style>
  <w:style w:type="character" w:customStyle="1" w:styleId="FootnoteTextChar">
    <w:name w:val="Footnote Text Char"/>
    <w:basedOn w:val="DefaultParagraphFont"/>
    <w:link w:val="FootnoteText"/>
    <w:uiPriority w:val="99"/>
    <w:semiHidden/>
    <w:rsid w:val="00563734"/>
    <w:rPr>
      <w:sz w:val="20"/>
      <w:szCs w:val="20"/>
    </w:rPr>
  </w:style>
  <w:style w:type="character" w:styleId="FootnoteReference">
    <w:name w:val="footnote reference"/>
    <w:basedOn w:val="DefaultParagraphFont"/>
    <w:uiPriority w:val="99"/>
    <w:semiHidden/>
    <w:unhideWhenUsed/>
    <w:rsid w:val="00563734"/>
    <w:rPr>
      <w:vertAlign w:val="superscript"/>
    </w:rPr>
  </w:style>
  <w:style w:type="paragraph" w:styleId="NoSpacing">
    <w:name w:val="No Spacing"/>
    <w:link w:val="NoSpacingChar"/>
    <w:uiPriority w:val="1"/>
    <w:qFormat/>
    <w:rsid w:val="00743FDC"/>
    <w:pPr>
      <w:spacing w:line="240" w:lineRule="auto"/>
      <w:jc w:val="left"/>
    </w:pPr>
    <w:rPr>
      <w:rFonts w:eastAsiaTheme="minorEastAsia"/>
    </w:rPr>
  </w:style>
  <w:style w:type="character" w:customStyle="1" w:styleId="NoSpacingChar">
    <w:name w:val="No Spacing Char"/>
    <w:basedOn w:val="DefaultParagraphFont"/>
    <w:link w:val="NoSpacing"/>
    <w:uiPriority w:val="1"/>
    <w:rsid w:val="00743FDC"/>
    <w:rPr>
      <w:rFonts w:eastAsiaTheme="minorEastAsia"/>
    </w:rPr>
  </w:style>
  <w:style w:type="character" w:styleId="Strong">
    <w:name w:val="Strong"/>
    <w:basedOn w:val="DefaultParagraphFont"/>
    <w:uiPriority w:val="22"/>
    <w:qFormat/>
    <w:rsid w:val="002177E2"/>
    <w:rPr>
      <w:b/>
      <w:bCs/>
    </w:rPr>
  </w:style>
  <w:style w:type="character" w:customStyle="1" w:styleId="Heading2Char">
    <w:name w:val="Heading 2 Char"/>
    <w:basedOn w:val="DefaultParagraphFont"/>
    <w:link w:val="Heading2"/>
    <w:uiPriority w:val="9"/>
    <w:rsid w:val="00BF377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FD0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3DF"/>
    <w:rPr>
      <w:rFonts w:ascii="Tahoma" w:hAnsi="Tahoma" w:cs="Tahoma"/>
      <w:sz w:val="16"/>
      <w:szCs w:val="16"/>
    </w:rPr>
  </w:style>
  <w:style w:type="paragraph" w:styleId="ListParagraph">
    <w:name w:val="List Paragraph"/>
    <w:basedOn w:val="Normal"/>
    <w:link w:val="ListParagraphChar"/>
    <w:uiPriority w:val="34"/>
    <w:qFormat/>
    <w:rsid w:val="00DB6AC2"/>
    <w:pPr>
      <w:ind w:left="720"/>
      <w:contextualSpacing/>
    </w:pPr>
  </w:style>
  <w:style w:type="character" w:customStyle="1" w:styleId="Heading3Char">
    <w:name w:val="Heading 3 Char"/>
    <w:basedOn w:val="DefaultParagraphFont"/>
    <w:link w:val="Heading3"/>
    <w:uiPriority w:val="9"/>
    <w:rsid w:val="005823B0"/>
    <w:rPr>
      <w:rFonts w:asciiTheme="majorHAnsi" w:eastAsiaTheme="majorEastAsia" w:hAnsiTheme="majorHAnsi" w:cstheme="majorBidi"/>
      <w:b/>
      <w:bCs/>
      <w:color w:val="4F81BD" w:themeColor="accent1"/>
    </w:rPr>
  </w:style>
  <w:style w:type="table" w:customStyle="1" w:styleId="6">
    <w:name w:val="6"/>
    <w:basedOn w:val="TableNormal"/>
    <w:rsid w:val="004239EE"/>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rsid w:val="004239EE"/>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4">
    <w:name w:val="4"/>
    <w:basedOn w:val="TableNormal"/>
    <w:rsid w:val="00990399"/>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rsid w:val="00105E9B"/>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rsid w:val="000030CA"/>
    <w:pPr>
      <w:spacing w:after="200" w:line="276" w:lineRule="auto"/>
      <w:jc w:val="left"/>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1">
    <w:name w:val="1"/>
    <w:basedOn w:val="TableNormal"/>
    <w:rsid w:val="00C21252"/>
    <w:pPr>
      <w:spacing w:line="240" w:lineRule="auto"/>
      <w:jc w:val="left"/>
    </w:pPr>
    <w:rPr>
      <w:rFonts w:ascii="Times New Roman" w:eastAsia="Times New Roman" w:hAnsi="Times New Roman" w:cs="Times New Roman"/>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1C020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61CF3"/>
    <w:pPr>
      <w:spacing w:after="200" w:line="240" w:lineRule="auto"/>
      <w:jc w:val="left"/>
    </w:pPr>
    <w:rPr>
      <w:rFonts w:eastAsiaTheme="minorEastAsia"/>
      <w:i/>
      <w:iCs/>
      <w:color w:val="1F497D" w:themeColor="text2"/>
      <w:sz w:val="18"/>
      <w:szCs w:val="18"/>
    </w:rPr>
  </w:style>
  <w:style w:type="paragraph" w:customStyle="1" w:styleId="Heading11">
    <w:name w:val="Heading 11"/>
    <w:basedOn w:val="Normal"/>
    <w:next w:val="Normal"/>
    <w:uiPriority w:val="9"/>
    <w:qFormat/>
    <w:rsid w:val="00443CB8"/>
    <w:pPr>
      <w:keepNext/>
      <w:keepLines/>
      <w:spacing w:before="480" w:line="276" w:lineRule="auto"/>
      <w:jc w:val="left"/>
      <w:outlineLvl w:val="0"/>
    </w:pPr>
    <w:rPr>
      <w:rFonts w:ascii="Cambria" w:eastAsia="Times New Roman" w:hAnsi="Cambria" w:cs="Times New Roman"/>
      <w:b/>
      <w:bCs/>
      <w:color w:val="365F91"/>
      <w:sz w:val="28"/>
      <w:szCs w:val="28"/>
    </w:rPr>
  </w:style>
  <w:style w:type="paragraph" w:customStyle="1" w:styleId="Default">
    <w:name w:val="Default"/>
    <w:rsid w:val="00A77E4C"/>
    <w:pPr>
      <w:autoSpaceDE w:val="0"/>
      <w:autoSpaceDN w:val="0"/>
      <w:adjustRightInd w:val="0"/>
      <w:spacing w:line="240" w:lineRule="auto"/>
      <w:jc w:val="left"/>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B94AC4"/>
    <w:rPr>
      <w:i/>
      <w:iCs/>
    </w:rPr>
  </w:style>
  <w:style w:type="character" w:customStyle="1" w:styleId="Heading1Char">
    <w:name w:val="Heading 1 Char"/>
    <w:basedOn w:val="DefaultParagraphFont"/>
    <w:link w:val="Heading1"/>
    <w:uiPriority w:val="9"/>
    <w:rsid w:val="00704AE2"/>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7B1B49"/>
    <w:pPr>
      <w:spacing w:after="200" w:line="240" w:lineRule="auto"/>
      <w:jc w:val="left"/>
    </w:pPr>
    <w:rPr>
      <w:rFonts w:ascii="Calibri" w:eastAsiaTheme="minorEastAsia" w:hAnsi="Calibri" w:cs="Calibri"/>
      <w:noProof/>
      <w:lang w:val="en-GB" w:eastAsia="en-GB"/>
    </w:rPr>
  </w:style>
  <w:style w:type="character" w:customStyle="1" w:styleId="EndNoteBibliographyChar">
    <w:name w:val="EndNote Bibliography Char"/>
    <w:basedOn w:val="DefaultParagraphFont"/>
    <w:link w:val="EndNoteBibliography"/>
    <w:rsid w:val="007B1B49"/>
    <w:rPr>
      <w:rFonts w:ascii="Calibri" w:eastAsiaTheme="minorEastAsia" w:hAnsi="Calibri" w:cs="Calibri"/>
      <w:noProof/>
      <w:lang w:val="en-GB" w:eastAsia="en-GB"/>
    </w:rPr>
  </w:style>
  <w:style w:type="character" w:customStyle="1" w:styleId="Heading4Char">
    <w:name w:val="Heading 4 Char"/>
    <w:basedOn w:val="DefaultParagraphFont"/>
    <w:link w:val="Heading4"/>
    <w:uiPriority w:val="9"/>
    <w:rsid w:val="002C2F5B"/>
    <w:rPr>
      <w:rFonts w:asciiTheme="majorHAnsi" w:eastAsiaTheme="majorEastAsia" w:hAnsiTheme="majorHAnsi" w:cstheme="majorBidi"/>
      <w:b/>
      <w:bCs/>
      <w:i/>
      <w:iCs/>
      <w:color w:val="4F81BD" w:themeColor="accent1"/>
      <w:lang w:val="en-GB" w:eastAsia="en-GB"/>
    </w:rPr>
  </w:style>
  <w:style w:type="paragraph" w:styleId="CommentText">
    <w:name w:val="annotation text"/>
    <w:basedOn w:val="Normal"/>
    <w:link w:val="CommentTextChar"/>
    <w:uiPriority w:val="99"/>
    <w:semiHidden/>
    <w:unhideWhenUsed/>
    <w:rsid w:val="00D93E91"/>
    <w:pPr>
      <w:spacing w:after="200" w:line="240" w:lineRule="auto"/>
      <w:jc w:val="left"/>
    </w:pPr>
    <w:rPr>
      <w:sz w:val="20"/>
      <w:szCs w:val="20"/>
    </w:rPr>
  </w:style>
  <w:style w:type="character" w:customStyle="1" w:styleId="CommentTextChar">
    <w:name w:val="Comment Text Char"/>
    <w:basedOn w:val="DefaultParagraphFont"/>
    <w:link w:val="CommentText"/>
    <w:uiPriority w:val="99"/>
    <w:semiHidden/>
    <w:rsid w:val="00D93E91"/>
    <w:rPr>
      <w:sz w:val="20"/>
      <w:szCs w:val="20"/>
    </w:rPr>
  </w:style>
  <w:style w:type="character" w:customStyle="1" w:styleId="ListParagraphChar">
    <w:name w:val="List Paragraph Char"/>
    <w:basedOn w:val="DefaultParagraphFont"/>
    <w:link w:val="ListParagraph"/>
    <w:uiPriority w:val="34"/>
    <w:rsid w:val="00932BC9"/>
  </w:style>
  <w:style w:type="table" w:customStyle="1" w:styleId="TableGridLight1">
    <w:name w:val="Table Grid Light1"/>
    <w:basedOn w:val="TableNormal"/>
    <w:uiPriority w:val="40"/>
    <w:rsid w:val="00397222"/>
    <w:pPr>
      <w:spacing w:line="240" w:lineRule="auto"/>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uiPriority w:val="99"/>
    <w:semiHidden/>
    <w:unhideWhenUsed/>
    <w:rsid w:val="003A1226"/>
    <w:rPr>
      <w:sz w:val="16"/>
      <w:szCs w:val="16"/>
    </w:rPr>
  </w:style>
  <w:style w:type="character" w:customStyle="1" w:styleId="UnresolvedMention">
    <w:name w:val="Unresolved Mention"/>
    <w:basedOn w:val="DefaultParagraphFont"/>
    <w:uiPriority w:val="99"/>
    <w:semiHidden/>
    <w:unhideWhenUsed/>
    <w:rsid w:val="0029134D"/>
    <w:rPr>
      <w:color w:val="605E5C"/>
      <w:shd w:val="clear" w:color="auto" w:fill="E1DFDD"/>
    </w:rPr>
  </w:style>
  <w:style w:type="table" w:customStyle="1" w:styleId="TableGrid1">
    <w:name w:val="Table Grid1"/>
    <w:basedOn w:val="TableNormal"/>
    <w:next w:val="TableGrid"/>
    <w:uiPriority w:val="39"/>
    <w:rsid w:val="00872087"/>
    <w:pPr>
      <w:spacing w:line="240" w:lineRule="auto"/>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284A5D"/>
    <w:pPr>
      <w:spacing w:line="240" w:lineRule="auto"/>
      <w:jc w:val="left"/>
    </w:pPr>
    <w:rPr>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ghtGrid-Accent51">
    <w:name w:val="Light Grid - Accent 51"/>
    <w:basedOn w:val="TableNormal"/>
    <w:next w:val="LightGrid-Accent5"/>
    <w:uiPriority w:val="62"/>
    <w:rsid w:val="00284A5D"/>
    <w:pPr>
      <w:spacing w:line="240" w:lineRule="auto"/>
      <w:jc w:val="left"/>
    </w:pPr>
    <w:rPr>
      <w:lang w:val="en-GB"/>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Kaling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Kaling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Kalinga"/>
        <w:b/>
        <w:bCs/>
      </w:rPr>
    </w:tblStylePr>
    <w:tblStylePr w:type="lastCol">
      <w:rPr>
        <w:rFonts w:ascii="Calibri Light" w:eastAsia="SimSun" w:hAnsi="Calibri Light" w:cs="Kaling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5">
    <w:name w:val="Light Grid Accent 5"/>
    <w:basedOn w:val="TableNormal"/>
    <w:uiPriority w:val="62"/>
    <w:semiHidden/>
    <w:unhideWhenUsed/>
    <w:rsid w:val="00284A5D"/>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PlainTable2">
    <w:name w:val="Plain Table 2"/>
    <w:basedOn w:val="TableNormal"/>
    <w:uiPriority w:val="42"/>
    <w:rsid w:val="00284A5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5723AE"/>
    <w:pPr>
      <w:spacing w:line="240" w:lineRule="auto"/>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3517F"/>
    <w:pPr>
      <w:spacing w:line="240" w:lineRule="auto"/>
      <w:jc w:val="left"/>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AE"/>
  </w:style>
  <w:style w:type="paragraph" w:styleId="Heading1">
    <w:name w:val="heading 1"/>
    <w:basedOn w:val="Normal"/>
    <w:next w:val="Normal"/>
    <w:link w:val="Heading1Char"/>
    <w:uiPriority w:val="9"/>
    <w:qFormat/>
    <w:rsid w:val="00704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3774"/>
    <w:pPr>
      <w:keepNext/>
      <w:keepLines/>
      <w:spacing w:before="40" w:line="276" w:lineRule="auto"/>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23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2F5B"/>
    <w:pPr>
      <w:keepNext/>
      <w:keepLines/>
      <w:spacing w:before="200" w:line="276" w:lineRule="auto"/>
      <w:jc w:val="left"/>
      <w:outlineLvl w:val="3"/>
    </w:pPr>
    <w:rPr>
      <w:rFonts w:asciiTheme="majorHAnsi" w:eastAsiaTheme="majorEastAsia" w:hAnsiTheme="majorHAnsi" w:cstheme="majorBidi"/>
      <w:b/>
      <w:bCs/>
      <w:i/>
      <w:iCs/>
      <w:color w:val="4F81BD" w:themeColor="accent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795"/>
    <w:rPr>
      <w:color w:val="0000FF"/>
      <w:u w:val="single"/>
    </w:rPr>
  </w:style>
  <w:style w:type="character" w:customStyle="1" w:styleId="fontstyle01">
    <w:name w:val="fontstyle01"/>
    <w:basedOn w:val="DefaultParagraphFont"/>
    <w:rsid w:val="00940C75"/>
    <w:rPr>
      <w:rFonts w:ascii="TimesNewRomanPS-BoldMT" w:hAnsi="TimesNewRomanPS-BoldMT" w:hint="default"/>
      <w:b/>
      <w:bCs/>
      <w:i w:val="0"/>
      <w:iCs w:val="0"/>
      <w:color w:val="000000"/>
      <w:sz w:val="28"/>
      <w:szCs w:val="28"/>
    </w:rPr>
  </w:style>
  <w:style w:type="table" w:styleId="TableGrid">
    <w:name w:val="Table Grid"/>
    <w:basedOn w:val="TableNormal"/>
    <w:uiPriority w:val="59"/>
    <w:qFormat/>
    <w:rsid w:val="0036774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67744"/>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21CD8"/>
    <w:pPr>
      <w:tabs>
        <w:tab w:val="center" w:pos="4680"/>
        <w:tab w:val="right" w:pos="9360"/>
      </w:tabs>
      <w:spacing w:line="240" w:lineRule="auto"/>
    </w:pPr>
  </w:style>
  <w:style w:type="character" w:customStyle="1" w:styleId="HeaderChar">
    <w:name w:val="Header Char"/>
    <w:basedOn w:val="DefaultParagraphFont"/>
    <w:link w:val="Header"/>
    <w:uiPriority w:val="99"/>
    <w:rsid w:val="00D21CD8"/>
  </w:style>
  <w:style w:type="paragraph" w:styleId="Footer">
    <w:name w:val="footer"/>
    <w:basedOn w:val="Normal"/>
    <w:link w:val="FooterChar"/>
    <w:uiPriority w:val="99"/>
    <w:unhideWhenUsed/>
    <w:rsid w:val="00D21CD8"/>
    <w:pPr>
      <w:tabs>
        <w:tab w:val="center" w:pos="4680"/>
        <w:tab w:val="right" w:pos="9360"/>
      </w:tabs>
      <w:spacing w:line="240" w:lineRule="auto"/>
    </w:pPr>
  </w:style>
  <w:style w:type="character" w:customStyle="1" w:styleId="FooterChar">
    <w:name w:val="Footer Char"/>
    <w:basedOn w:val="DefaultParagraphFont"/>
    <w:link w:val="Footer"/>
    <w:uiPriority w:val="99"/>
    <w:rsid w:val="00D21CD8"/>
  </w:style>
  <w:style w:type="paragraph" w:styleId="FootnoteText">
    <w:name w:val="footnote text"/>
    <w:basedOn w:val="Normal"/>
    <w:link w:val="FootnoteTextChar"/>
    <w:uiPriority w:val="99"/>
    <w:semiHidden/>
    <w:unhideWhenUsed/>
    <w:rsid w:val="00563734"/>
    <w:pPr>
      <w:spacing w:line="240" w:lineRule="auto"/>
    </w:pPr>
    <w:rPr>
      <w:sz w:val="20"/>
      <w:szCs w:val="20"/>
    </w:rPr>
  </w:style>
  <w:style w:type="character" w:customStyle="1" w:styleId="FootnoteTextChar">
    <w:name w:val="Footnote Text Char"/>
    <w:basedOn w:val="DefaultParagraphFont"/>
    <w:link w:val="FootnoteText"/>
    <w:uiPriority w:val="99"/>
    <w:semiHidden/>
    <w:rsid w:val="00563734"/>
    <w:rPr>
      <w:sz w:val="20"/>
      <w:szCs w:val="20"/>
    </w:rPr>
  </w:style>
  <w:style w:type="character" w:styleId="FootnoteReference">
    <w:name w:val="footnote reference"/>
    <w:basedOn w:val="DefaultParagraphFont"/>
    <w:uiPriority w:val="99"/>
    <w:semiHidden/>
    <w:unhideWhenUsed/>
    <w:rsid w:val="00563734"/>
    <w:rPr>
      <w:vertAlign w:val="superscript"/>
    </w:rPr>
  </w:style>
  <w:style w:type="paragraph" w:styleId="NoSpacing">
    <w:name w:val="No Spacing"/>
    <w:link w:val="NoSpacingChar"/>
    <w:uiPriority w:val="1"/>
    <w:qFormat/>
    <w:rsid w:val="00743FDC"/>
    <w:pPr>
      <w:spacing w:line="240" w:lineRule="auto"/>
      <w:jc w:val="left"/>
    </w:pPr>
    <w:rPr>
      <w:rFonts w:eastAsiaTheme="minorEastAsia"/>
    </w:rPr>
  </w:style>
  <w:style w:type="character" w:customStyle="1" w:styleId="NoSpacingChar">
    <w:name w:val="No Spacing Char"/>
    <w:basedOn w:val="DefaultParagraphFont"/>
    <w:link w:val="NoSpacing"/>
    <w:uiPriority w:val="1"/>
    <w:rsid w:val="00743FDC"/>
    <w:rPr>
      <w:rFonts w:eastAsiaTheme="minorEastAsia"/>
    </w:rPr>
  </w:style>
  <w:style w:type="character" w:styleId="Strong">
    <w:name w:val="Strong"/>
    <w:basedOn w:val="DefaultParagraphFont"/>
    <w:uiPriority w:val="22"/>
    <w:qFormat/>
    <w:rsid w:val="002177E2"/>
    <w:rPr>
      <w:b/>
      <w:bCs/>
    </w:rPr>
  </w:style>
  <w:style w:type="character" w:customStyle="1" w:styleId="Heading2Char">
    <w:name w:val="Heading 2 Char"/>
    <w:basedOn w:val="DefaultParagraphFont"/>
    <w:link w:val="Heading2"/>
    <w:uiPriority w:val="9"/>
    <w:rsid w:val="00BF377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FD0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3DF"/>
    <w:rPr>
      <w:rFonts w:ascii="Tahoma" w:hAnsi="Tahoma" w:cs="Tahoma"/>
      <w:sz w:val="16"/>
      <w:szCs w:val="16"/>
    </w:rPr>
  </w:style>
  <w:style w:type="paragraph" w:styleId="ListParagraph">
    <w:name w:val="List Paragraph"/>
    <w:basedOn w:val="Normal"/>
    <w:link w:val="ListParagraphChar"/>
    <w:uiPriority w:val="34"/>
    <w:qFormat/>
    <w:rsid w:val="00DB6AC2"/>
    <w:pPr>
      <w:ind w:left="720"/>
      <w:contextualSpacing/>
    </w:pPr>
  </w:style>
  <w:style w:type="character" w:customStyle="1" w:styleId="Heading3Char">
    <w:name w:val="Heading 3 Char"/>
    <w:basedOn w:val="DefaultParagraphFont"/>
    <w:link w:val="Heading3"/>
    <w:uiPriority w:val="9"/>
    <w:rsid w:val="005823B0"/>
    <w:rPr>
      <w:rFonts w:asciiTheme="majorHAnsi" w:eastAsiaTheme="majorEastAsia" w:hAnsiTheme="majorHAnsi" w:cstheme="majorBidi"/>
      <w:b/>
      <w:bCs/>
      <w:color w:val="4F81BD" w:themeColor="accent1"/>
    </w:rPr>
  </w:style>
  <w:style w:type="table" w:customStyle="1" w:styleId="6">
    <w:name w:val="6"/>
    <w:basedOn w:val="TableNormal"/>
    <w:rsid w:val="004239EE"/>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rsid w:val="004239EE"/>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4">
    <w:name w:val="4"/>
    <w:basedOn w:val="TableNormal"/>
    <w:rsid w:val="00990399"/>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rsid w:val="00105E9B"/>
    <w:pPr>
      <w:spacing w:after="200" w:line="276" w:lineRule="auto"/>
      <w:jc w:val="left"/>
    </w:pPr>
    <w:rPr>
      <w:rFonts w:ascii="Times New Roman" w:eastAsia="Times New Roman" w:hAnsi="Times New Roman" w:cs="Times New Roman"/>
    </w:rPr>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rsid w:val="000030CA"/>
    <w:pPr>
      <w:spacing w:after="200" w:line="276" w:lineRule="auto"/>
      <w:jc w:val="left"/>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1">
    <w:name w:val="1"/>
    <w:basedOn w:val="TableNormal"/>
    <w:rsid w:val="00C21252"/>
    <w:pPr>
      <w:spacing w:line="240" w:lineRule="auto"/>
      <w:jc w:val="left"/>
    </w:pPr>
    <w:rPr>
      <w:rFonts w:ascii="Times New Roman" w:eastAsia="Times New Roman" w:hAnsi="Times New Roman" w:cs="Times New Roman"/>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1C020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61CF3"/>
    <w:pPr>
      <w:spacing w:after="200" w:line="240" w:lineRule="auto"/>
      <w:jc w:val="left"/>
    </w:pPr>
    <w:rPr>
      <w:rFonts w:eastAsiaTheme="minorEastAsia"/>
      <w:i/>
      <w:iCs/>
      <w:color w:val="1F497D" w:themeColor="text2"/>
      <w:sz w:val="18"/>
      <w:szCs w:val="18"/>
    </w:rPr>
  </w:style>
  <w:style w:type="paragraph" w:customStyle="1" w:styleId="Heading11">
    <w:name w:val="Heading 11"/>
    <w:basedOn w:val="Normal"/>
    <w:next w:val="Normal"/>
    <w:uiPriority w:val="9"/>
    <w:qFormat/>
    <w:rsid w:val="00443CB8"/>
    <w:pPr>
      <w:keepNext/>
      <w:keepLines/>
      <w:spacing w:before="480" w:line="276" w:lineRule="auto"/>
      <w:jc w:val="left"/>
      <w:outlineLvl w:val="0"/>
    </w:pPr>
    <w:rPr>
      <w:rFonts w:ascii="Cambria" w:eastAsia="Times New Roman" w:hAnsi="Cambria" w:cs="Times New Roman"/>
      <w:b/>
      <w:bCs/>
      <w:color w:val="365F91"/>
      <w:sz w:val="28"/>
      <w:szCs w:val="28"/>
    </w:rPr>
  </w:style>
  <w:style w:type="paragraph" w:customStyle="1" w:styleId="Default">
    <w:name w:val="Default"/>
    <w:rsid w:val="00A77E4C"/>
    <w:pPr>
      <w:autoSpaceDE w:val="0"/>
      <w:autoSpaceDN w:val="0"/>
      <w:adjustRightInd w:val="0"/>
      <w:spacing w:line="240" w:lineRule="auto"/>
      <w:jc w:val="left"/>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B94AC4"/>
    <w:rPr>
      <w:i/>
      <w:iCs/>
    </w:rPr>
  </w:style>
  <w:style w:type="character" w:customStyle="1" w:styleId="Heading1Char">
    <w:name w:val="Heading 1 Char"/>
    <w:basedOn w:val="DefaultParagraphFont"/>
    <w:link w:val="Heading1"/>
    <w:uiPriority w:val="9"/>
    <w:rsid w:val="00704AE2"/>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7B1B49"/>
    <w:pPr>
      <w:spacing w:after="200" w:line="240" w:lineRule="auto"/>
      <w:jc w:val="left"/>
    </w:pPr>
    <w:rPr>
      <w:rFonts w:ascii="Calibri" w:eastAsiaTheme="minorEastAsia" w:hAnsi="Calibri" w:cs="Calibri"/>
      <w:noProof/>
      <w:lang w:val="en-GB" w:eastAsia="en-GB"/>
    </w:rPr>
  </w:style>
  <w:style w:type="character" w:customStyle="1" w:styleId="EndNoteBibliographyChar">
    <w:name w:val="EndNote Bibliography Char"/>
    <w:basedOn w:val="DefaultParagraphFont"/>
    <w:link w:val="EndNoteBibliography"/>
    <w:rsid w:val="007B1B49"/>
    <w:rPr>
      <w:rFonts w:ascii="Calibri" w:eastAsiaTheme="minorEastAsia" w:hAnsi="Calibri" w:cs="Calibri"/>
      <w:noProof/>
      <w:lang w:val="en-GB" w:eastAsia="en-GB"/>
    </w:rPr>
  </w:style>
  <w:style w:type="character" w:customStyle="1" w:styleId="Heading4Char">
    <w:name w:val="Heading 4 Char"/>
    <w:basedOn w:val="DefaultParagraphFont"/>
    <w:link w:val="Heading4"/>
    <w:uiPriority w:val="9"/>
    <w:rsid w:val="002C2F5B"/>
    <w:rPr>
      <w:rFonts w:asciiTheme="majorHAnsi" w:eastAsiaTheme="majorEastAsia" w:hAnsiTheme="majorHAnsi" w:cstheme="majorBidi"/>
      <w:b/>
      <w:bCs/>
      <w:i/>
      <w:iCs/>
      <w:color w:val="4F81BD" w:themeColor="accent1"/>
      <w:lang w:val="en-GB" w:eastAsia="en-GB"/>
    </w:rPr>
  </w:style>
  <w:style w:type="paragraph" w:styleId="CommentText">
    <w:name w:val="annotation text"/>
    <w:basedOn w:val="Normal"/>
    <w:link w:val="CommentTextChar"/>
    <w:uiPriority w:val="99"/>
    <w:semiHidden/>
    <w:unhideWhenUsed/>
    <w:rsid w:val="00D93E91"/>
    <w:pPr>
      <w:spacing w:after="200" w:line="240" w:lineRule="auto"/>
      <w:jc w:val="left"/>
    </w:pPr>
    <w:rPr>
      <w:sz w:val="20"/>
      <w:szCs w:val="20"/>
    </w:rPr>
  </w:style>
  <w:style w:type="character" w:customStyle="1" w:styleId="CommentTextChar">
    <w:name w:val="Comment Text Char"/>
    <w:basedOn w:val="DefaultParagraphFont"/>
    <w:link w:val="CommentText"/>
    <w:uiPriority w:val="99"/>
    <w:semiHidden/>
    <w:rsid w:val="00D93E91"/>
    <w:rPr>
      <w:sz w:val="20"/>
      <w:szCs w:val="20"/>
    </w:rPr>
  </w:style>
  <w:style w:type="character" w:customStyle="1" w:styleId="ListParagraphChar">
    <w:name w:val="List Paragraph Char"/>
    <w:basedOn w:val="DefaultParagraphFont"/>
    <w:link w:val="ListParagraph"/>
    <w:uiPriority w:val="34"/>
    <w:rsid w:val="00932BC9"/>
  </w:style>
  <w:style w:type="table" w:customStyle="1" w:styleId="TableGridLight1">
    <w:name w:val="Table Grid Light1"/>
    <w:basedOn w:val="TableNormal"/>
    <w:uiPriority w:val="40"/>
    <w:rsid w:val="00397222"/>
    <w:pPr>
      <w:spacing w:line="240" w:lineRule="auto"/>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uiPriority w:val="99"/>
    <w:semiHidden/>
    <w:unhideWhenUsed/>
    <w:rsid w:val="003A1226"/>
    <w:rPr>
      <w:sz w:val="16"/>
      <w:szCs w:val="16"/>
    </w:rPr>
  </w:style>
  <w:style w:type="character" w:customStyle="1" w:styleId="UnresolvedMention">
    <w:name w:val="Unresolved Mention"/>
    <w:basedOn w:val="DefaultParagraphFont"/>
    <w:uiPriority w:val="99"/>
    <w:semiHidden/>
    <w:unhideWhenUsed/>
    <w:rsid w:val="0029134D"/>
    <w:rPr>
      <w:color w:val="605E5C"/>
      <w:shd w:val="clear" w:color="auto" w:fill="E1DFDD"/>
    </w:rPr>
  </w:style>
  <w:style w:type="table" w:customStyle="1" w:styleId="TableGrid1">
    <w:name w:val="Table Grid1"/>
    <w:basedOn w:val="TableNormal"/>
    <w:next w:val="TableGrid"/>
    <w:uiPriority w:val="39"/>
    <w:rsid w:val="00872087"/>
    <w:pPr>
      <w:spacing w:line="240" w:lineRule="auto"/>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284A5D"/>
    <w:pPr>
      <w:spacing w:line="240" w:lineRule="auto"/>
      <w:jc w:val="left"/>
    </w:pPr>
    <w:rPr>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ghtGrid-Accent51">
    <w:name w:val="Light Grid - Accent 51"/>
    <w:basedOn w:val="TableNormal"/>
    <w:next w:val="LightGrid-Accent5"/>
    <w:uiPriority w:val="62"/>
    <w:rsid w:val="00284A5D"/>
    <w:pPr>
      <w:spacing w:line="240" w:lineRule="auto"/>
      <w:jc w:val="left"/>
    </w:pPr>
    <w:rPr>
      <w:lang w:val="en-GB"/>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Kaling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Kaling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Kalinga"/>
        <w:b/>
        <w:bCs/>
      </w:rPr>
    </w:tblStylePr>
    <w:tblStylePr w:type="lastCol">
      <w:rPr>
        <w:rFonts w:ascii="Calibri Light" w:eastAsia="SimSun" w:hAnsi="Calibri Light" w:cs="Kaling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5">
    <w:name w:val="Light Grid Accent 5"/>
    <w:basedOn w:val="TableNormal"/>
    <w:uiPriority w:val="62"/>
    <w:semiHidden/>
    <w:unhideWhenUsed/>
    <w:rsid w:val="00284A5D"/>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PlainTable2">
    <w:name w:val="Plain Table 2"/>
    <w:basedOn w:val="TableNormal"/>
    <w:uiPriority w:val="42"/>
    <w:rsid w:val="00284A5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5723AE"/>
    <w:pPr>
      <w:spacing w:line="240" w:lineRule="auto"/>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3517F"/>
    <w:pPr>
      <w:spacing w:line="240" w:lineRule="auto"/>
      <w:jc w:val="left"/>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3480">
      <w:bodyDiv w:val="1"/>
      <w:marLeft w:val="0"/>
      <w:marRight w:val="0"/>
      <w:marTop w:val="0"/>
      <w:marBottom w:val="0"/>
      <w:divBdr>
        <w:top w:val="none" w:sz="0" w:space="0" w:color="auto"/>
        <w:left w:val="none" w:sz="0" w:space="0" w:color="auto"/>
        <w:bottom w:val="none" w:sz="0" w:space="0" w:color="auto"/>
        <w:right w:val="none" w:sz="0" w:space="0" w:color="auto"/>
      </w:divBdr>
    </w:div>
    <w:div w:id="594291351">
      <w:bodyDiv w:val="1"/>
      <w:marLeft w:val="0"/>
      <w:marRight w:val="0"/>
      <w:marTop w:val="0"/>
      <w:marBottom w:val="0"/>
      <w:divBdr>
        <w:top w:val="none" w:sz="0" w:space="0" w:color="auto"/>
        <w:left w:val="none" w:sz="0" w:space="0" w:color="auto"/>
        <w:bottom w:val="none" w:sz="0" w:space="0" w:color="auto"/>
        <w:right w:val="none" w:sz="0" w:space="0" w:color="auto"/>
      </w:divBdr>
    </w:div>
    <w:div w:id="656500752">
      <w:bodyDiv w:val="1"/>
      <w:marLeft w:val="0"/>
      <w:marRight w:val="0"/>
      <w:marTop w:val="0"/>
      <w:marBottom w:val="0"/>
      <w:divBdr>
        <w:top w:val="none" w:sz="0" w:space="0" w:color="auto"/>
        <w:left w:val="none" w:sz="0" w:space="0" w:color="auto"/>
        <w:bottom w:val="none" w:sz="0" w:space="0" w:color="auto"/>
        <w:right w:val="none" w:sz="0" w:space="0" w:color="auto"/>
      </w:divBdr>
    </w:div>
    <w:div w:id="742917960">
      <w:bodyDiv w:val="1"/>
      <w:marLeft w:val="0"/>
      <w:marRight w:val="0"/>
      <w:marTop w:val="0"/>
      <w:marBottom w:val="0"/>
      <w:divBdr>
        <w:top w:val="none" w:sz="0" w:space="0" w:color="auto"/>
        <w:left w:val="none" w:sz="0" w:space="0" w:color="auto"/>
        <w:bottom w:val="none" w:sz="0" w:space="0" w:color="auto"/>
        <w:right w:val="none" w:sz="0" w:space="0" w:color="auto"/>
      </w:divBdr>
    </w:div>
    <w:div w:id="751777116">
      <w:bodyDiv w:val="1"/>
      <w:marLeft w:val="0"/>
      <w:marRight w:val="0"/>
      <w:marTop w:val="0"/>
      <w:marBottom w:val="0"/>
      <w:divBdr>
        <w:top w:val="none" w:sz="0" w:space="0" w:color="auto"/>
        <w:left w:val="none" w:sz="0" w:space="0" w:color="auto"/>
        <w:bottom w:val="none" w:sz="0" w:space="0" w:color="auto"/>
        <w:right w:val="none" w:sz="0" w:space="0" w:color="auto"/>
      </w:divBdr>
    </w:div>
    <w:div w:id="923343155">
      <w:bodyDiv w:val="1"/>
      <w:marLeft w:val="0"/>
      <w:marRight w:val="0"/>
      <w:marTop w:val="0"/>
      <w:marBottom w:val="0"/>
      <w:divBdr>
        <w:top w:val="none" w:sz="0" w:space="0" w:color="auto"/>
        <w:left w:val="none" w:sz="0" w:space="0" w:color="auto"/>
        <w:bottom w:val="none" w:sz="0" w:space="0" w:color="auto"/>
        <w:right w:val="none" w:sz="0" w:space="0" w:color="auto"/>
      </w:divBdr>
    </w:div>
    <w:div w:id="949170373">
      <w:bodyDiv w:val="1"/>
      <w:marLeft w:val="0"/>
      <w:marRight w:val="0"/>
      <w:marTop w:val="0"/>
      <w:marBottom w:val="0"/>
      <w:divBdr>
        <w:top w:val="none" w:sz="0" w:space="0" w:color="auto"/>
        <w:left w:val="none" w:sz="0" w:space="0" w:color="auto"/>
        <w:bottom w:val="none" w:sz="0" w:space="0" w:color="auto"/>
        <w:right w:val="none" w:sz="0" w:space="0" w:color="auto"/>
      </w:divBdr>
    </w:div>
    <w:div w:id="994837344">
      <w:bodyDiv w:val="1"/>
      <w:marLeft w:val="0"/>
      <w:marRight w:val="0"/>
      <w:marTop w:val="0"/>
      <w:marBottom w:val="0"/>
      <w:divBdr>
        <w:top w:val="none" w:sz="0" w:space="0" w:color="auto"/>
        <w:left w:val="none" w:sz="0" w:space="0" w:color="auto"/>
        <w:bottom w:val="none" w:sz="0" w:space="0" w:color="auto"/>
        <w:right w:val="none" w:sz="0" w:space="0" w:color="auto"/>
      </w:divBdr>
    </w:div>
    <w:div w:id="1028334287">
      <w:bodyDiv w:val="1"/>
      <w:marLeft w:val="0"/>
      <w:marRight w:val="0"/>
      <w:marTop w:val="0"/>
      <w:marBottom w:val="0"/>
      <w:divBdr>
        <w:top w:val="none" w:sz="0" w:space="0" w:color="auto"/>
        <w:left w:val="none" w:sz="0" w:space="0" w:color="auto"/>
        <w:bottom w:val="none" w:sz="0" w:space="0" w:color="auto"/>
        <w:right w:val="none" w:sz="0" w:space="0" w:color="auto"/>
      </w:divBdr>
    </w:div>
    <w:div w:id="1200362100">
      <w:bodyDiv w:val="1"/>
      <w:marLeft w:val="0"/>
      <w:marRight w:val="0"/>
      <w:marTop w:val="0"/>
      <w:marBottom w:val="0"/>
      <w:divBdr>
        <w:top w:val="none" w:sz="0" w:space="0" w:color="auto"/>
        <w:left w:val="none" w:sz="0" w:space="0" w:color="auto"/>
        <w:bottom w:val="none" w:sz="0" w:space="0" w:color="auto"/>
        <w:right w:val="none" w:sz="0" w:space="0" w:color="auto"/>
      </w:divBdr>
    </w:div>
    <w:div w:id="1226523191">
      <w:bodyDiv w:val="1"/>
      <w:marLeft w:val="0"/>
      <w:marRight w:val="0"/>
      <w:marTop w:val="0"/>
      <w:marBottom w:val="0"/>
      <w:divBdr>
        <w:top w:val="none" w:sz="0" w:space="0" w:color="auto"/>
        <w:left w:val="none" w:sz="0" w:space="0" w:color="auto"/>
        <w:bottom w:val="none" w:sz="0" w:space="0" w:color="auto"/>
        <w:right w:val="none" w:sz="0" w:space="0" w:color="auto"/>
      </w:divBdr>
    </w:div>
    <w:div w:id="1357122525">
      <w:bodyDiv w:val="1"/>
      <w:marLeft w:val="0"/>
      <w:marRight w:val="0"/>
      <w:marTop w:val="0"/>
      <w:marBottom w:val="0"/>
      <w:divBdr>
        <w:top w:val="none" w:sz="0" w:space="0" w:color="auto"/>
        <w:left w:val="none" w:sz="0" w:space="0" w:color="auto"/>
        <w:bottom w:val="none" w:sz="0" w:space="0" w:color="auto"/>
        <w:right w:val="none" w:sz="0" w:space="0" w:color="auto"/>
      </w:divBdr>
    </w:div>
    <w:div w:id="1663435769">
      <w:bodyDiv w:val="1"/>
      <w:marLeft w:val="0"/>
      <w:marRight w:val="0"/>
      <w:marTop w:val="0"/>
      <w:marBottom w:val="0"/>
      <w:divBdr>
        <w:top w:val="none" w:sz="0" w:space="0" w:color="auto"/>
        <w:left w:val="none" w:sz="0" w:space="0" w:color="auto"/>
        <w:bottom w:val="none" w:sz="0" w:space="0" w:color="auto"/>
        <w:right w:val="none" w:sz="0" w:space="0" w:color="auto"/>
      </w:divBdr>
    </w:div>
    <w:div w:id="1697005876">
      <w:bodyDiv w:val="1"/>
      <w:marLeft w:val="0"/>
      <w:marRight w:val="0"/>
      <w:marTop w:val="0"/>
      <w:marBottom w:val="0"/>
      <w:divBdr>
        <w:top w:val="none" w:sz="0" w:space="0" w:color="auto"/>
        <w:left w:val="none" w:sz="0" w:space="0" w:color="auto"/>
        <w:bottom w:val="none" w:sz="0" w:space="0" w:color="auto"/>
        <w:right w:val="none" w:sz="0" w:space="0" w:color="auto"/>
      </w:divBdr>
    </w:div>
    <w:div w:id="1810710918">
      <w:bodyDiv w:val="1"/>
      <w:marLeft w:val="0"/>
      <w:marRight w:val="0"/>
      <w:marTop w:val="0"/>
      <w:marBottom w:val="0"/>
      <w:divBdr>
        <w:top w:val="none" w:sz="0" w:space="0" w:color="auto"/>
        <w:left w:val="none" w:sz="0" w:space="0" w:color="auto"/>
        <w:bottom w:val="none" w:sz="0" w:space="0" w:color="auto"/>
        <w:right w:val="none" w:sz="0" w:space="0" w:color="auto"/>
      </w:divBdr>
    </w:div>
    <w:div w:id="1838644436">
      <w:bodyDiv w:val="1"/>
      <w:marLeft w:val="0"/>
      <w:marRight w:val="0"/>
      <w:marTop w:val="0"/>
      <w:marBottom w:val="0"/>
      <w:divBdr>
        <w:top w:val="none" w:sz="0" w:space="0" w:color="auto"/>
        <w:left w:val="none" w:sz="0" w:space="0" w:color="auto"/>
        <w:bottom w:val="none" w:sz="0" w:space="0" w:color="auto"/>
        <w:right w:val="none" w:sz="0" w:space="0" w:color="auto"/>
      </w:divBdr>
    </w:div>
    <w:div w:id="1846086682">
      <w:bodyDiv w:val="1"/>
      <w:marLeft w:val="0"/>
      <w:marRight w:val="0"/>
      <w:marTop w:val="0"/>
      <w:marBottom w:val="0"/>
      <w:divBdr>
        <w:top w:val="none" w:sz="0" w:space="0" w:color="auto"/>
        <w:left w:val="none" w:sz="0" w:space="0" w:color="auto"/>
        <w:bottom w:val="none" w:sz="0" w:space="0" w:color="auto"/>
        <w:right w:val="none" w:sz="0" w:space="0" w:color="auto"/>
      </w:divBdr>
    </w:div>
    <w:div w:id="1936592277">
      <w:bodyDiv w:val="1"/>
      <w:marLeft w:val="0"/>
      <w:marRight w:val="0"/>
      <w:marTop w:val="0"/>
      <w:marBottom w:val="0"/>
      <w:divBdr>
        <w:top w:val="none" w:sz="0" w:space="0" w:color="auto"/>
        <w:left w:val="none" w:sz="0" w:space="0" w:color="auto"/>
        <w:bottom w:val="none" w:sz="0" w:space="0" w:color="auto"/>
        <w:right w:val="none" w:sz="0" w:space="0" w:color="auto"/>
      </w:divBdr>
    </w:div>
    <w:div w:id="1956868893">
      <w:bodyDiv w:val="1"/>
      <w:marLeft w:val="0"/>
      <w:marRight w:val="0"/>
      <w:marTop w:val="0"/>
      <w:marBottom w:val="0"/>
      <w:divBdr>
        <w:top w:val="none" w:sz="0" w:space="0" w:color="auto"/>
        <w:left w:val="none" w:sz="0" w:space="0" w:color="auto"/>
        <w:bottom w:val="none" w:sz="0" w:space="0" w:color="auto"/>
        <w:right w:val="none" w:sz="0" w:space="0" w:color="auto"/>
      </w:divBdr>
    </w:div>
    <w:div w:id="1976449512">
      <w:bodyDiv w:val="1"/>
      <w:marLeft w:val="0"/>
      <w:marRight w:val="0"/>
      <w:marTop w:val="0"/>
      <w:marBottom w:val="0"/>
      <w:divBdr>
        <w:top w:val="none" w:sz="0" w:space="0" w:color="auto"/>
        <w:left w:val="none" w:sz="0" w:space="0" w:color="auto"/>
        <w:bottom w:val="none" w:sz="0" w:space="0" w:color="auto"/>
        <w:right w:val="none" w:sz="0" w:space="0" w:color="auto"/>
      </w:divBdr>
    </w:div>
    <w:div w:id="19858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eab2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4C074-67ED-4334-86D4-30518FA2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6022</Words>
  <Characters>34331</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Study Design and Period</vt:lpstr>
      <vt:lpstr>    Source and Study population</vt:lpstr>
    </vt:vector>
  </TitlesOfParts>
  <Company>home</Company>
  <LinksUpToDate>false</LinksUpToDate>
  <CharactersWithSpaces>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Ayalew</dc:creator>
  <cp:lastModifiedBy>ismail - [2010]</cp:lastModifiedBy>
  <cp:revision>9</cp:revision>
  <cp:lastPrinted>2024-04-21T14:10:00Z</cp:lastPrinted>
  <dcterms:created xsi:type="dcterms:W3CDTF">2025-08-24T12:05:00Z</dcterms:created>
  <dcterms:modified xsi:type="dcterms:W3CDTF">2025-08-26T12:33:00Z</dcterms:modified>
</cp:coreProperties>
</file>